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C81D2" w14:textId="77777777" w:rsidR="00DA6E9C" w:rsidRDefault="00DA6E9C">
      <w:pPr>
        <w:shd w:val="clear" w:color="auto" w:fill="FFFFFF"/>
        <w:spacing w:after="0" w:line="240" w:lineRule="auto"/>
        <w:ind w:left="720"/>
        <w:rPr>
          <w:rFonts w:ascii="Cambria" w:eastAsia="Cambria" w:hAnsi="Cambria" w:cs="Cambria"/>
          <w:i/>
          <w:sz w:val="21"/>
          <w:szCs w:val="21"/>
        </w:rPr>
      </w:pPr>
    </w:p>
    <w:p w14:paraId="226D1B59"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color w:val="000000"/>
          <w:sz w:val="24"/>
          <w:szCs w:val="24"/>
        </w:rPr>
        <w:t> </w:t>
      </w:r>
    </w:p>
    <w:p w14:paraId="4CA139B7" w14:textId="4D58F5AE" w:rsidR="00DA6E9C" w:rsidRDefault="005D3EF1" w:rsidP="00855AE2">
      <w:pPr>
        <w:pBdr>
          <w:top w:val="nil"/>
          <w:left w:val="nil"/>
          <w:bottom w:val="nil"/>
          <w:right w:val="nil"/>
          <w:between w:val="nil"/>
        </w:pBdr>
        <w:shd w:val="clear" w:color="auto" w:fill="FFFFFF"/>
        <w:spacing w:after="0" w:line="240" w:lineRule="auto"/>
        <w:jc w:val="center"/>
        <w:rPr>
          <w:rFonts w:ascii="Cambria" w:eastAsia="Cambria" w:hAnsi="Cambria" w:cs="Cambria"/>
          <w:b/>
          <w:color w:val="000000"/>
          <w:sz w:val="32"/>
          <w:szCs w:val="32"/>
        </w:rPr>
      </w:pPr>
      <w:bookmarkStart w:id="0" w:name="_heading=h.y44gbhlfkc6i" w:colFirst="0" w:colLast="0"/>
      <w:bookmarkEnd w:id="0"/>
      <w:r w:rsidRPr="005D3EF1">
        <w:rPr>
          <w:rFonts w:ascii="Cambria" w:eastAsia="Cambria" w:hAnsi="Cambria" w:cs="Cambria"/>
          <w:b/>
          <w:color w:val="000000"/>
          <w:sz w:val="32"/>
          <w:szCs w:val="32"/>
        </w:rPr>
        <w:t>Differences in Burnout Levels Among Nurses in Critical Care and Inpatient Units</w:t>
      </w:r>
    </w:p>
    <w:p w14:paraId="667725EA" w14:textId="77777777" w:rsidR="00855AE2" w:rsidRDefault="00855AE2" w:rsidP="00855AE2">
      <w:pPr>
        <w:pBdr>
          <w:top w:val="nil"/>
          <w:left w:val="nil"/>
          <w:bottom w:val="nil"/>
          <w:right w:val="nil"/>
          <w:between w:val="nil"/>
        </w:pBdr>
        <w:shd w:val="clear" w:color="auto" w:fill="FFFFFF"/>
        <w:spacing w:after="0" w:line="240" w:lineRule="auto"/>
        <w:jc w:val="center"/>
        <w:rPr>
          <w:rFonts w:ascii="Cambria" w:eastAsia="Cambria" w:hAnsi="Cambria" w:cs="Cambria"/>
          <w:b/>
          <w:color w:val="000000"/>
          <w:sz w:val="32"/>
          <w:szCs w:val="32"/>
        </w:rPr>
      </w:pPr>
    </w:p>
    <w:p w14:paraId="225E69C2" w14:textId="2CB95612" w:rsidR="00855AE2" w:rsidRDefault="00855AE2" w:rsidP="00855AE2">
      <w:pPr>
        <w:pBdr>
          <w:top w:val="nil"/>
          <w:left w:val="nil"/>
          <w:bottom w:val="nil"/>
          <w:right w:val="nil"/>
          <w:between w:val="nil"/>
        </w:pBdr>
        <w:shd w:val="clear" w:color="auto" w:fill="FFFFFF"/>
        <w:spacing w:after="0" w:line="240" w:lineRule="auto"/>
        <w:rPr>
          <w:rFonts w:ascii="Cambria" w:eastAsia="Cambria" w:hAnsi="Cambria" w:cs="Cambria"/>
          <w:b/>
          <w:color w:val="000000"/>
          <w:sz w:val="24"/>
          <w:szCs w:val="24"/>
        </w:rPr>
      </w:pPr>
    </w:p>
    <w:p w14:paraId="602FF639" w14:textId="77777777" w:rsidR="00DA6E9C" w:rsidRDefault="00000000">
      <w:pPr>
        <w:pBdr>
          <w:top w:val="nil"/>
          <w:left w:val="nil"/>
          <w:bottom w:val="nil"/>
          <w:right w:val="nil"/>
          <w:between w:val="nil"/>
        </w:pBdr>
        <w:shd w:val="clear" w:color="auto" w:fill="FFFFFF"/>
        <w:spacing w:after="0" w:line="240" w:lineRule="auto"/>
        <w:jc w:val="center"/>
        <w:rPr>
          <w:rFonts w:ascii="Cambria" w:eastAsia="Cambria" w:hAnsi="Cambria" w:cs="Cambria"/>
          <w:color w:val="000000"/>
          <w:sz w:val="20"/>
          <w:szCs w:val="20"/>
        </w:rPr>
      </w:pPr>
      <w:r>
        <w:rPr>
          <w:rFonts w:ascii="Cambria" w:eastAsia="Cambria" w:hAnsi="Cambria" w:cs="Cambria"/>
          <w:b/>
          <w:color w:val="000000"/>
          <w:sz w:val="28"/>
          <w:szCs w:val="28"/>
        </w:rPr>
        <w:t>Abstract</w:t>
      </w:r>
    </w:p>
    <w:p w14:paraId="198649B2" w14:textId="77777777" w:rsidR="00DA6E9C" w:rsidRDefault="00DA6E9C">
      <w:pPr>
        <w:shd w:val="clear" w:color="auto" w:fill="FFFFFF"/>
        <w:spacing w:after="0" w:line="240" w:lineRule="auto"/>
        <w:ind w:left="720"/>
        <w:jc w:val="both"/>
        <w:rPr>
          <w:rFonts w:ascii="Cambria" w:eastAsia="Cambria" w:hAnsi="Cambria" w:cs="Cambria"/>
          <w:i/>
          <w:sz w:val="24"/>
          <w:szCs w:val="24"/>
        </w:rPr>
      </w:pPr>
      <w:bookmarkStart w:id="1" w:name="_heading=h.6ffyfed4mn8a" w:colFirst="0" w:colLast="0"/>
      <w:bookmarkEnd w:id="1"/>
    </w:p>
    <w:p w14:paraId="4FC5E66A" w14:textId="23A3A665" w:rsidR="00DA6E9C" w:rsidRDefault="00000000" w:rsidP="006F316D">
      <w:pPr>
        <w:shd w:val="clear" w:color="auto" w:fill="FFFFFF"/>
        <w:spacing w:after="0" w:line="240" w:lineRule="auto"/>
        <w:jc w:val="both"/>
        <w:rPr>
          <w:rFonts w:ascii="Cambria" w:eastAsia="Cambria" w:hAnsi="Cambria" w:cs="Cambria"/>
          <w:sz w:val="24"/>
          <w:szCs w:val="24"/>
        </w:rPr>
      </w:pPr>
      <w:r>
        <w:rPr>
          <w:rFonts w:ascii="Cambria" w:eastAsia="Cambria" w:hAnsi="Cambria" w:cs="Cambria"/>
          <w:b/>
          <w:sz w:val="24"/>
          <w:szCs w:val="24"/>
        </w:rPr>
        <w:t>Background</w:t>
      </w:r>
      <w:r>
        <w:rPr>
          <w:rFonts w:ascii="Cambria" w:eastAsia="Cambria" w:hAnsi="Cambria" w:cs="Cambria"/>
          <w:sz w:val="24"/>
          <w:szCs w:val="24"/>
        </w:rPr>
        <w:t xml:space="preserve">: </w:t>
      </w:r>
      <w:r w:rsidR="006F316D" w:rsidRPr="006F316D">
        <w:rPr>
          <w:rFonts w:ascii="Cambria" w:eastAsia="Cambria" w:hAnsi="Cambria" w:cs="Cambria"/>
          <w:sz w:val="24"/>
          <w:szCs w:val="24"/>
        </w:rPr>
        <w:t>Burnout is a common occupational hazard among nurses, negatively affecting both staff well-being and patient care quality. Understanding differences in burnout across hospital units is critical for designing targeted interventions.</w:t>
      </w:r>
      <w:r w:rsidR="006F316D">
        <w:rPr>
          <w:rFonts w:ascii="Cambria" w:eastAsia="Cambria" w:hAnsi="Cambria" w:cs="Cambria"/>
          <w:sz w:val="24"/>
          <w:szCs w:val="24"/>
        </w:rPr>
        <w:t xml:space="preserve"> </w:t>
      </w:r>
      <w:r w:rsidR="006F316D" w:rsidRPr="006F316D">
        <w:rPr>
          <w:rFonts w:ascii="Cambria" w:eastAsia="Cambria" w:hAnsi="Cambria" w:cs="Cambria"/>
          <w:sz w:val="24"/>
          <w:szCs w:val="24"/>
        </w:rPr>
        <w:t>This study aimed to compare burnout levels between nurses working in Critical Care Units and Adult Inpatient Units and to explore the implications for patient care and staff well-being.</w:t>
      </w:r>
    </w:p>
    <w:p w14:paraId="7625458C" w14:textId="4708015F" w:rsidR="00DA6E9C"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b/>
          <w:sz w:val="24"/>
          <w:szCs w:val="24"/>
        </w:rPr>
        <w:t>Methods</w:t>
      </w:r>
      <w:r>
        <w:rPr>
          <w:rFonts w:ascii="Cambria" w:eastAsia="Cambria" w:hAnsi="Cambria" w:cs="Cambria"/>
          <w:sz w:val="24"/>
          <w:szCs w:val="24"/>
        </w:rPr>
        <w:t xml:space="preserve">: </w:t>
      </w:r>
      <w:r w:rsidR="006F316D">
        <w:t>A cross-sectional study was conducted at a Baptist Hospital in Kediri City, East Java, Indonesia, involving 97 nurses (21 in Critical Care Units and 76 in Adult Inpatient Units). Burnout was measured using the Maslach Burnout Inventory (MBI), which assesses emotional exhaustion, depersonalization, and reduced personal accomplishment. Data were analyzed using descriptive statistics and the Mann–Whitney U test to compare burnout levels between the two groups, with significance set at p &lt; 0.05.</w:t>
      </w:r>
    </w:p>
    <w:p w14:paraId="0EEA1249" w14:textId="42A77C78" w:rsidR="00DA6E9C"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b/>
          <w:sz w:val="24"/>
          <w:szCs w:val="24"/>
        </w:rPr>
        <w:t>Result:</w:t>
      </w:r>
      <w:r>
        <w:rPr>
          <w:rFonts w:ascii="Cambria" w:eastAsia="Cambria" w:hAnsi="Cambria" w:cs="Cambria"/>
          <w:sz w:val="24"/>
          <w:szCs w:val="24"/>
        </w:rPr>
        <w:t> </w:t>
      </w:r>
      <w:r w:rsidR="006F316D">
        <w:t>Nurses in Adult Inpatient Units experienced higher levels of burnout, with 42.1% reporting moderate burnout and 5.3% high burnout, whereas nurses in Critical Care Units reported primarily low burnout (85.7%) and no high burnout. Emotional exhaustion was the most prominent dimension, followed by depersonalization and reduced personal accomplishment. The difference in burnout levels between units was statistically significant (U = 528.000, Z = -2.751, p = 0.006).</w:t>
      </w:r>
    </w:p>
    <w:p w14:paraId="44CC28E6" w14:textId="57A75033" w:rsidR="00DA6E9C" w:rsidRDefault="00000000">
      <w:pPr>
        <w:shd w:val="clear" w:color="auto" w:fill="FFFFFF"/>
        <w:spacing w:after="0" w:line="240" w:lineRule="auto"/>
        <w:jc w:val="both"/>
        <w:rPr>
          <w:rFonts w:ascii="Cambria" w:eastAsia="Cambria" w:hAnsi="Cambria" w:cs="Cambria"/>
          <w:sz w:val="24"/>
          <w:szCs w:val="24"/>
        </w:rPr>
      </w:pPr>
      <w:r>
        <w:rPr>
          <w:rFonts w:ascii="Cambria" w:eastAsia="Cambria" w:hAnsi="Cambria" w:cs="Cambria"/>
          <w:b/>
          <w:sz w:val="24"/>
          <w:szCs w:val="24"/>
        </w:rPr>
        <w:t>Conclusion:</w:t>
      </w:r>
      <w:r>
        <w:rPr>
          <w:rFonts w:ascii="Cambria" w:eastAsia="Cambria" w:hAnsi="Cambria" w:cs="Cambria"/>
          <w:sz w:val="24"/>
          <w:szCs w:val="24"/>
        </w:rPr>
        <w:t> </w:t>
      </w:r>
      <w:r w:rsidR="006F316D">
        <w:t>Burnout is more pronounced among nurses in Adult Inpatient Units, which may compromise patient care quality, safety, and communication. Targeted interventions—including workload management, psychosocial support, and resilience training—are essential to mitigate burnout, enhance staff well-being, and improve patient outcomes.</w:t>
      </w:r>
    </w:p>
    <w:p w14:paraId="6749EA1A" w14:textId="77777777" w:rsidR="00DA6E9C" w:rsidRDefault="00DA6E9C">
      <w:pPr>
        <w:pBdr>
          <w:top w:val="nil"/>
          <w:left w:val="nil"/>
          <w:bottom w:val="nil"/>
          <w:right w:val="nil"/>
          <w:between w:val="nil"/>
        </w:pBdr>
        <w:shd w:val="clear" w:color="auto" w:fill="FFFFFF"/>
        <w:spacing w:after="0" w:line="240" w:lineRule="auto"/>
        <w:ind w:left="709"/>
        <w:jc w:val="both"/>
        <w:rPr>
          <w:rFonts w:ascii="Cambria" w:eastAsia="Cambria" w:hAnsi="Cambria" w:cs="Cambria"/>
          <w:color w:val="000000"/>
          <w:sz w:val="24"/>
          <w:szCs w:val="24"/>
        </w:rPr>
      </w:pPr>
    </w:p>
    <w:p w14:paraId="130F7B81" w14:textId="3CC0E056" w:rsidR="006F316D" w:rsidRDefault="00000000" w:rsidP="006F316D">
      <w:pPr>
        <w:pStyle w:val="NormalWeb"/>
      </w:pPr>
      <w:r>
        <w:rPr>
          <w:rFonts w:ascii="Cambria" w:eastAsia="Cambria" w:hAnsi="Cambria" w:cs="Cambria"/>
          <w:b/>
        </w:rPr>
        <w:t>Keywords: </w:t>
      </w:r>
      <w:r w:rsidR="000A6EC4">
        <w:rPr>
          <w:rFonts w:ascii="Cambria" w:eastAsia="Cambria" w:hAnsi="Cambria" w:cs="Cambria"/>
          <w:b/>
        </w:rPr>
        <w:t>B</w:t>
      </w:r>
      <w:r w:rsidR="006F316D">
        <w:t>urnout, Nurses, Critical Care, Inpatient Units, Emotional Exhaustion, Patient Care</w:t>
      </w:r>
    </w:p>
    <w:p w14:paraId="19A6CC87" w14:textId="5401B577" w:rsidR="00DA6E9C" w:rsidRDefault="00DA6E9C">
      <w:pPr>
        <w:shd w:val="clear" w:color="auto" w:fill="FFFFFF"/>
        <w:spacing w:after="0" w:line="240" w:lineRule="auto"/>
        <w:jc w:val="both"/>
        <w:rPr>
          <w:rFonts w:ascii="Cambria" w:eastAsia="Cambria" w:hAnsi="Cambria" w:cs="Cambria"/>
          <w:color w:val="000000"/>
          <w:sz w:val="24"/>
          <w:szCs w:val="24"/>
        </w:rPr>
      </w:pPr>
    </w:p>
    <w:p w14:paraId="2F010BCB" w14:textId="77777777" w:rsidR="00DA6E9C" w:rsidRDefault="00DA6E9C">
      <w:pPr>
        <w:shd w:val="clear" w:color="auto" w:fill="FFFFFF"/>
        <w:spacing w:after="0" w:line="240" w:lineRule="auto"/>
        <w:jc w:val="both"/>
        <w:rPr>
          <w:rFonts w:ascii="Cambria" w:eastAsia="Cambria" w:hAnsi="Cambria" w:cs="Cambria"/>
          <w:color w:val="000000"/>
          <w:sz w:val="24"/>
          <w:szCs w:val="24"/>
        </w:rPr>
      </w:pPr>
    </w:p>
    <w:p w14:paraId="0D6DC37F" w14:textId="77777777" w:rsidR="00DA6E9C" w:rsidRDefault="00DA6E9C">
      <w:pPr>
        <w:pBdr>
          <w:top w:val="nil"/>
          <w:left w:val="nil"/>
          <w:bottom w:val="nil"/>
          <w:right w:val="nil"/>
          <w:between w:val="nil"/>
        </w:pBdr>
        <w:shd w:val="clear" w:color="auto" w:fill="FFFFFF"/>
        <w:spacing w:after="0" w:line="240" w:lineRule="auto"/>
        <w:jc w:val="center"/>
        <w:rPr>
          <w:rFonts w:ascii="Cambria" w:eastAsia="Cambria" w:hAnsi="Cambria" w:cs="Cambria"/>
          <w:b/>
          <w:color w:val="333333"/>
          <w:sz w:val="28"/>
          <w:szCs w:val="28"/>
        </w:rPr>
      </w:pPr>
    </w:p>
    <w:p w14:paraId="73B6FB09" w14:textId="77777777" w:rsidR="006F316D" w:rsidRDefault="00000000" w:rsidP="006F316D">
      <w:pPr>
        <w:shd w:val="clear" w:color="auto" w:fill="FFFFFF"/>
        <w:spacing w:after="0" w:line="240" w:lineRule="auto"/>
        <w:jc w:val="both"/>
        <w:rPr>
          <w:rFonts w:ascii="Cambria" w:eastAsia="Cambria" w:hAnsi="Cambria" w:cs="Cambria"/>
          <w:sz w:val="24"/>
          <w:szCs w:val="24"/>
        </w:rPr>
      </w:pPr>
      <w:r>
        <w:rPr>
          <w:rFonts w:ascii="Cambria" w:eastAsia="Cambria" w:hAnsi="Cambria" w:cs="Cambria"/>
          <w:b/>
          <w:sz w:val="24"/>
          <w:szCs w:val="24"/>
        </w:rPr>
        <w:t>Implications for practice:</w:t>
      </w:r>
      <w:r>
        <w:rPr>
          <w:rFonts w:ascii="Cambria" w:eastAsia="Cambria" w:hAnsi="Cambria" w:cs="Cambria"/>
          <w:sz w:val="24"/>
          <w:szCs w:val="24"/>
        </w:rPr>
        <w:t xml:space="preserve"> </w:t>
      </w:r>
    </w:p>
    <w:p w14:paraId="71D0F95B" w14:textId="2332ECE6" w:rsidR="006F316D" w:rsidRPr="006F316D" w:rsidRDefault="006F316D" w:rsidP="006F316D">
      <w:pPr>
        <w:pStyle w:val="ListParagraph"/>
        <w:numPr>
          <w:ilvl w:val="0"/>
          <w:numId w:val="18"/>
        </w:numPr>
        <w:shd w:val="clear" w:color="auto" w:fill="FFFFFF"/>
        <w:spacing w:after="0" w:line="240" w:lineRule="auto"/>
        <w:jc w:val="both"/>
        <w:rPr>
          <w:rFonts w:ascii="Cambria" w:eastAsia="Cambria" w:hAnsi="Cambria" w:cs="Cambria"/>
          <w:sz w:val="24"/>
          <w:szCs w:val="24"/>
        </w:rPr>
      </w:pPr>
      <w:r w:rsidRPr="006F316D">
        <w:rPr>
          <w:rFonts w:ascii="Cambria" w:eastAsia="Cambria" w:hAnsi="Cambria" w:cs="Cambria"/>
          <w:sz w:val="24"/>
          <w:szCs w:val="24"/>
        </w:rPr>
        <w:t>Implementing structured workload management and psychosocial support programs in Adult Inpatient Units can reduce nurse burnout, particularly emotional exhaustion and depersonalization, and enhance overall staff well-being in local hospitals like Baptist Hospital, Kediri.</w:t>
      </w:r>
    </w:p>
    <w:p w14:paraId="78FB164F" w14:textId="77777777" w:rsidR="006F316D" w:rsidRPr="006F316D" w:rsidRDefault="006F316D" w:rsidP="006F316D">
      <w:pPr>
        <w:shd w:val="clear" w:color="auto" w:fill="FFFFFF"/>
        <w:spacing w:after="0" w:line="240" w:lineRule="auto"/>
        <w:jc w:val="both"/>
        <w:rPr>
          <w:rFonts w:ascii="Cambria" w:eastAsia="Cambria" w:hAnsi="Cambria" w:cs="Cambria"/>
          <w:sz w:val="24"/>
          <w:szCs w:val="24"/>
        </w:rPr>
      </w:pPr>
    </w:p>
    <w:p w14:paraId="5393D773" w14:textId="77777777" w:rsidR="006F316D" w:rsidRPr="006F316D" w:rsidRDefault="006F316D" w:rsidP="006F316D">
      <w:pPr>
        <w:pStyle w:val="ListParagraph"/>
        <w:numPr>
          <w:ilvl w:val="0"/>
          <w:numId w:val="18"/>
        </w:numPr>
        <w:shd w:val="clear" w:color="auto" w:fill="FFFFFF"/>
        <w:spacing w:after="0" w:line="240" w:lineRule="auto"/>
        <w:jc w:val="both"/>
        <w:rPr>
          <w:rFonts w:ascii="Cambria" w:eastAsia="Cambria" w:hAnsi="Cambria" w:cs="Cambria"/>
          <w:sz w:val="24"/>
          <w:szCs w:val="24"/>
        </w:rPr>
      </w:pPr>
      <w:r w:rsidRPr="006F316D">
        <w:rPr>
          <w:rFonts w:ascii="Cambria" w:eastAsia="Cambria" w:hAnsi="Cambria" w:cs="Cambria"/>
          <w:sz w:val="24"/>
          <w:szCs w:val="24"/>
        </w:rPr>
        <w:t>Addressing burnout is essential for improving patient care quality, as reduced burnout can enhance communication, decision-making, and patient safety, ultimately lowering the risk of medical errors and healthcare-associated infections in both critical and general care units.</w:t>
      </w:r>
    </w:p>
    <w:p w14:paraId="69BD2F44" w14:textId="77777777" w:rsidR="006F316D" w:rsidRPr="006F316D" w:rsidRDefault="006F316D" w:rsidP="006F316D">
      <w:pPr>
        <w:shd w:val="clear" w:color="auto" w:fill="FFFFFF"/>
        <w:spacing w:after="0" w:line="240" w:lineRule="auto"/>
        <w:jc w:val="both"/>
        <w:rPr>
          <w:rFonts w:ascii="Cambria" w:eastAsia="Cambria" w:hAnsi="Cambria" w:cs="Cambria"/>
          <w:sz w:val="24"/>
          <w:szCs w:val="24"/>
        </w:rPr>
      </w:pPr>
    </w:p>
    <w:p w14:paraId="74C4A991" w14:textId="19CB3167" w:rsidR="00DA6E9C" w:rsidRPr="006F316D" w:rsidRDefault="006F316D" w:rsidP="006F316D">
      <w:pPr>
        <w:pStyle w:val="ListParagraph"/>
        <w:numPr>
          <w:ilvl w:val="0"/>
          <w:numId w:val="18"/>
        </w:numPr>
        <w:shd w:val="clear" w:color="auto" w:fill="FFFFFF"/>
        <w:spacing w:after="0" w:line="240" w:lineRule="auto"/>
        <w:jc w:val="both"/>
        <w:rPr>
          <w:rFonts w:ascii="Cambria" w:eastAsia="Cambria" w:hAnsi="Cambria" w:cs="Cambria"/>
          <w:i/>
        </w:rPr>
      </w:pPr>
      <w:r w:rsidRPr="006F316D">
        <w:rPr>
          <w:rFonts w:ascii="Cambria" w:eastAsia="Cambria" w:hAnsi="Cambria" w:cs="Cambria"/>
          <w:sz w:val="24"/>
          <w:szCs w:val="24"/>
        </w:rPr>
        <w:lastRenderedPageBreak/>
        <w:t>Developing unit-specific policies, including resilience training and supportive work environments, can help retain skilled nurses, maintain staffing stability, and promote professional satisfaction, ensuring sustainable, high-quality care delivery in regional healthcare settings.</w:t>
      </w:r>
    </w:p>
    <w:p w14:paraId="37AA07E7" w14:textId="77777777" w:rsidR="00DA6E9C" w:rsidRDefault="00DA6E9C">
      <w:pPr>
        <w:pBdr>
          <w:top w:val="nil"/>
          <w:left w:val="nil"/>
          <w:bottom w:val="nil"/>
          <w:right w:val="nil"/>
          <w:between w:val="nil"/>
        </w:pBdr>
        <w:shd w:val="clear" w:color="auto" w:fill="FFFFFF"/>
        <w:spacing w:after="0" w:line="240" w:lineRule="auto"/>
        <w:jc w:val="both"/>
        <w:rPr>
          <w:rFonts w:ascii="Cambria" w:eastAsia="Cambria" w:hAnsi="Cambria" w:cs="Cambria"/>
          <w:i/>
          <w:color w:val="000000"/>
        </w:rPr>
      </w:pPr>
    </w:p>
    <w:p w14:paraId="10FDF5DF"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0"/>
          <w:szCs w:val="20"/>
        </w:rPr>
      </w:pPr>
      <w:r>
        <w:rPr>
          <w:rFonts w:ascii="Cambria" w:eastAsia="Cambria" w:hAnsi="Cambria" w:cs="Cambria"/>
          <w:b/>
          <w:color w:val="000000"/>
          <w:sz w:val="28"/>
          <w:szCs w:val="28"/>
        </w:rPr>
        <w:t>Introduction</w:t>
      </w:r>
    </w:p>
    <w:p w14:paraId="6EB37B98" w14:textId="77777777" w:rsidR="005D3EF1" w:rsidRDefault="005D3EF1" w:rsidP="006F316D">
      <w:pPr>
        <w:pStyle w:val="NormalWeb"/>
        <w:ind w:firstLine="426"/>
        <w:jc w:val="both"/>
      </w:pPr>
      <w:bookmarkStart w:id="2" w:name="_heading=h.hsrbh5om7pgd" w:colFirst="0" w:colLast="0"/>
      <w:bookmarkEnd w:id="2"/>
      <w:r>
        <w:t>Burnout has long been recognized as a critical occupational hazard among nurses, particularly those working in high-intensity environments such as intensive care units (ICUs) and inpatient wards. ICU nurses consistently report higher levels of emotional exhaustion, depersonalization, and diminished personal accomplishment due to the intense physical and emotional demands of caring for critically ill patients (Sikioti et al., 2023; Wudarczyk et al., 2025; Quesada-Puga et al., 2024). Several studies indicate that ICU work is characterized by heavy workloads, high-stress clinical situations, moral distress, and frequent exposure to death, all of which significantly contribute to burnout (Hartog, 2019; Ślusarz et al., 2022; Jirkovská &amp; Dolák, 2025). Alarm fatigue, a growing concern in technologically dense ICU settings, further exacerbates stress and increases the risk of burnout (Qi et al., 2025).</w:t>
      </w:r>
    </w:p>
    <w:p w14:paraId="76996483" w14:textId="77777777" w:rsidR="005D3EF1" w:rsidRDefault="005D3EF1" w:rsidP="006F316D">
      <w:pPr>
        <w:pStyle w:val="NormalWeb"/>
        <w:ind w:firstLine="426"/>
        <w:jc w:val="both"/>
      </w:pPr>
      <w:r>
        <w:t>In contrast, inpatient nurses—although not always exposed to the acute clinical instability seen in ICUs—also experience substantial burnout influenced by large patient volumes, the need to balance expectations from patients and families, and inconsistent staffing levels (Quigley et al., 2023). In pediatric inpatient settings, inadequate communication and limited involvement in quality improvement activities have also been identified as contributors to burnout (Quigley et al., 2023). Comparative studies demonstrate that burnout exists across hospital settings but may manifest differently depending on workload intensity, specialty demands, and organizational support (Gniewek et al., 2023; Sudrajat et al., 2021).</w:t>
      </w:r>
    </w:p>
    <w:p w14:paraId="75B1DDD0" w14:textId="77777777" w:rsidR="005D3EF1" w:rsidRDefault="005D3EF1" w:rsidP="006F316D">
      <w:pPr>
        <w:pStyle w:val="NormalWeb"/>
        <w:ind w:firstLine="426"/>
        <w:jc w:val="both"/>
      </w:pPr>
      <w:r>
        <w:t>Burnout among nurses has significant consequences for patient safety and care outcomes. High levels of burnout are linked to increased medical errors, reduced vigilance, lower job satisfaction, and compromised patient safety culture (Braithwaite, 2008; Mathew et al., 2025). In critical care environments, burnout has been shown to compromise teamwork, elevate the likelihood of near-miss events, and reduce the overall quality of care delivered (Yousif &amp; Al-Fayyadh, 2024).</w:t>
      </w:r>
    </w:p>
    <w:p w14:paraId="439767E1" w14:textId="77777777" w:rsidR="005D3EF1" w:rsidRDefault="005D3EF1" w:rsidP="006F316D">
      <w:pPr>
        <w:pStyle w:val="NormalWeb"/>
        <w:ind w:firstLine="426"/>
        <w:jc w:val="both"/>
      </w:pPr>
      <w:r>
        <w:t>Efforts to mitigate burnout must incorporate both individual-based and organizational-level strategies. Effective coping strategies such as active coping, planning, and resilience skills have been associated with reduced emotional exhaustion (Wudarczyk et al., 2025). Mindfulness-based interventions (MBIs) demonstrated promising results in reducing stress among ICU nurses globally (Alharbi &amp; McKenna, 2025). Organizational support—including adequate staffing, managerial support, peer support groups, and fostering a positive practice environment—is also crucial for preventing burnout (Ayed et al., 2024; Kamath et al., 2025). Perceived organizational support has been identified as an important protective factor against depersonalization and disengagement among ICU nurses (Kamath et al., 2025).</w:t>
      </w:r>
    </w:p>
    <w:p w14:paraId="2278EB32" w14:textId="77777777" w:rsidR="005D3EF1" w:rsidRDefault="005D3EF1" w:rsidP="006F316D">
      <w:pPr>
        <w:pStyle w:val="NormalWeb"/>
        <w:ind w:firstLine="426"/>
        <w:jc w:val="both"/>
      </w:pPr>
      <w:r>
        <w:t>Given the complex and variable nature of burnout across ICU and inpatient settings, it is essential to compare burnout levels between these two nursing populations. Such comparisons will help identify setting-specific stressors, inform tailored interventions, and ultimately enhance both nurse well-being and patient care outcomes.</w:t>
      </w:r>
    </w:p>
    <w:p w14:paraId="542CE5A1" w14:textId="68D6001B" w:rsidR="00DA6E9C" w:rsidRDefault="00DA6E9C">
      <w:pPr>
        <w:numPr>
          <w:ilvl w:val="0"/>
          <w:numId w:val="2"/>
        </w:numPr>
        <w:shd w:val="clear" w:color="auto" w:fill="FFFFFF"/>
        <w:spacing w:after="0" w:line="240" w:lineRule="auto"/>
        <w:jc w:val="both"/>
        <w:rPr>
          <w:rFonts w:ascii="Cambria" w:eastAsia="Cambria" w:hAnsi="Cambria" w:cs="Cambria"/>
          <w:highlight w:val="lightGray"/>
        </w:rPr>
      </w:pPr>
    </w:p>
    <w:p w14:paraId="59723E6F" w14:textId="77777777" w:rsidR="00DA6E9C" w:rsidRDefault="00DA6E9C">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p>
    <w:p w14:paraId="0ED20636"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0"/>
          <w:szCs w:val="20"/>
        </w:rPr>
      </w:pPr>
      <w:r>
        <w:rPr>
          <w:rFonts w:ascii="Cambria" w:eastAsia="Cambria" w:hAnsi="Cambria" w:cs="Cambria"/>
          <w:b/>
          <w:color w:val="000000"/>
          <w:sz w:val="28"/>
          <w:szCs w:val="28"/>
        </w:rPr>
        <w:t>Methods</w:t>
      </w:r>
    </w:p>
    <w:p w14:paraId="2A450FF3"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rPr>
      </w:pPr>
      <w:bookmarkStart w:id="3" w:name="_heading=h.oekfjmm2ahvf" w:colFirst="0" w:colLast="0"/>
      <w:bookmarkEnd w:id="3"/>
      <w:r>
        <w:rPr>
          <w:rFonts w:ascii="Cambria" w:eastAsia="Cambria" w:hAnsi="Cambria" w:cs="Cambria"/>
          <w:b/>
          <w:color w:val="000000"/>
          <w:sz w:val="24"/>
          <w:szCs w:val="24"/>
        </w:rPr>
        <w:t>Study Design</w:t>
      </w:r>
    </w:p>
    <w:p w14:paraId="24AF015F" w14:textId="1B44B8BF" w:rsidR="00DA6E9C" w:rsidRDefault="005D3EF1">
      <w:pPr>
        <w:pBdr>
          <w:top w:val="nil"/>
          <w:left w:val="nil"/>
          <w:bottom w:val="nil"/>
          <w:right w:val="nil"/>
          <w:between w:val="nil"/>
        </w:pBdr>
        <w:shd w:val="clear" w:color="auto" w:fill="FFFFFF"/>
        <w:spacing w:after="0" w:line="240" w:lineRule="auto"/>
        <w:ind w:left="426"/>
        <w:jc w:val="both"/>
        <w:rPr>
          <w:rFonts w:ascii="Cambria" w:eastAsia="Cambria" w:hAnsi="Cambria" w:cs="Cambria"/>
          <w:color w:val="000000"/>
          <w:sz w:val="24"/>
          <w:szCs w:val="24"/>
        </w:rPr>
      </w:pPr>
      <w:r w:rsidRPr="005D3EF1">
        <w:rPr>
          <w:rFonts w:ascii="Cambria" w:eastAsia="Cambria" w:hAnsi="Cambria" w:cs="Cambria"/>
          <w:color w:val="000000"/>
          <w:sz w:val="24"/>
          <w:szCs w:val="24"/>
        </w:rPr>
        <w:t xml:space="preserve">This study employed a cross-sectional design to examine the differences in burnout levels between nurses working in critical care units and those in inpatient wards at a </w:t>
      </w:r>
      <w:r w:rsidRPr="005D3EF1">
        <w:t>Baptist Hospital, Kediri City</w:t>
      </w:r>
      <w:r w:rsidRPr="005D3EF1">
        <w:rPr>
          <w:rFonts w:ascii="Cambria" w:eastAsia="Cambria" w:hAnsi="Cambria" w:cs="Cambria"/>
          <w:color w:val="000000"/>
          <w:sz w:val="24"/>
          <w:szCs w:val="24"/>
        </w:rPr>
        <w:t>, East Java, Indonesia.</w:t>
      </w:r>
    </w:p>
    <w:p w14:paraId="68D466E9"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b/>
          <w:color w:val="000000"/>
          <w:sz w:val="24"/>
          <w:szCs w:val="24"/>
        </w:rPr>
        <w:t>Participants</w:t>
      </w:r>
    </w:p>
    <w:p w14:paraId="6C2409EB" w14:textId="4422CD3B" w:rsidR="00DA6E9C" w:rsidRDefault="005D3EF1">
      <w:pPr>
        <w:shd w:val="clear" w:color="auto" w:fill="FFFFFF"/>
        <w:spacing w:after="0" w:line="240" w:lineRule="auto"/>
        <w:ind w:left="567"/>
        <w:jc w:val="both"/>
      </w:pPr>
      <w:r>
        <w:t>articipants in this study were recruited using a purposive sampling technique to ensure the inclusion of nurses working in relevant clinical settings. The inclusion criteria consisted of nurses assigned to critical care units—such as the ICU, ICCU, and Perinatal High-Risk Units—and nurses working in inpatient wards who were willing to participate in the study, while those on leave or unwilling to participate were excluded. A total of 97 nurses met the criteria and agreed to join the study, comprising 21 nurses from critical care units and 76 nurses from inpatient wards. All participants were approached directly by the researcher, informed about the study purpose, and provided written consent prior to participation. The sample size was determined based on the total number of eligible nurses available during the study period, as no formal power analysis was conducted.</w:t>
      </w:r>
    </w:p>
    <w:p w14:paraId="327444F3" w14:textId="77777777" w:rsidR="005D3EF1" w:rsidRDefault="005D3EF1">
      <w:pPr>
        <w:shd w:val="clear" w:color="auto" w:fill="FFFFFF"/>
        <w:spacing w:after="0" w:line="240" w:lineRule="auto"/>
        <w:ind w:left="567"/>
        <w:jc w:val="both"/>
        <w:rPr>
          <w:rFonts w:ascii="Cambria" w:eastAsia="Cambria" w:hAnsi="Cambria" w:cs="Cambria"/>
        </w:rPr>
      </w:pPr>
    </w:p>
    <w:p w14:paraId="3D9D74DB"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b/>
          <w:color w:val="000000"/>
          <w:sz w:val="24"/>
          <w:szCs w:val="24"/>
        </w:rPr>
        <w:t>Instrument</w:t>
      </w:r>
    </w:p>
    <w:p w14:paraId="6AB7BC95" w14:textId="4AA5FFAF" w:rsidR="00DA6E9C" w:rsidRDefault="005D3EF1">
      <w:pPr>
        <w:shd w:val="clear" w:color="auto" w:fill="FFFFFF"/>
        <w:spacing w:after="0" w:line="240" w:lineRule="auto"/>
        <w:ind w:left="567" w:hanging="360"/>
        <w:jc w:val="both"/>
        <w:rPr>
          <w:rFonts w:ascii="Cambria" w:eastAsia="Cambria" w:hAnsi="Cambria" w:cs="Cambria"/>
          <w:sz w:val="24"/>
          <w:szCs w:val="24"/>
        </w:rPr>
      </w:pPr>
      <w:r>
        <w:t xml:space="preserve">Burnout was measured using the Maslach Burnout Inventory (MBI), adapted from Andarini (2020), which consists of 22 items covering three dimensions: emotional exhaustion (9 items), depersonalization (5 items), and reduced personal accomplishment (8 items). The instrument used a Likert scale in which positive statements were scored from 1 (Always) to 4 (Never), while negative statements were scored from 1 (Never) to 4 (Always), with total scores categorized into low (22–40), moderate (41–55), and high burnout (≥56). The MBI is a standardized instrument; therefore, additional validity and reliability testing was not conducted in this study. Previous validation reported by Andarini (2020) showed that all items met validity criteria with a Pearson significance value of p = 0.001 &lt; 0.05, and reliability testing demonstrated Cronbach’s Alpha values of 0.89 for emotional exhaustion, 0.77 for depersonalization, and 0.77 for reduced personal accomplishment, indicating strong internal consistency. </w:t>
      </w:r>
    </w:p>
    <w:p w14:paraId="25CA7FAA" w14:textId="77777777" w:rsidR="00DA6E9C" w:rsidRDefault="00DA6E9C">
      <w:pPr>
        <w:shd w:val="clear" w:color="auto" w:fill="FFFFFF"/>
        <w:spacing w:after="0" w:line="240" w:lineRule="auto"/>
        <w:ind w:left="567" w:hanging="360"/>
        <w:jc w:val="both"/>
        <w:rPr>
          <w:rFonts w:ascii="Cambria" w:eastAsia="Cambria" w:hAnsi="Cambria" w:cs="Cambria"/>
          <w:sz w:val="24"/>
          <w:szCs w:val="24"/>
        </w:rPr>
      </w:pPr>
    </w:p>
    <w:p w14:paraId="0B60FF95" w14:textId="77777777" w:rsidR="00DA6E9C" w:rsidRDefault="00DA6E9C">
      <w:pPr>
        <w:pBdr>
          <w:top w:val="nil"/>
          <w:left w:val="nil"/>
          <w:bottom w:val="nil"/>
          <w:right w:val="nil"/>
          <w:between w:val="nil"/>
        </w:pBdr>
        <w:shd w:val="clear" w:color="auto" w:fill="FFFFFF"/>
        <w:spacing w:after="0" w:line="240" w:lineRule="auto"/>
        <w:jc w:val="both"/>
        <w:rPr>
          <w:rFonts w:ascii="Cambria" w:eastAsia="Cambria" w:hAnsi="Cambria" w:cs="Cambria"/>
          <w:b/>
          <w:color w:val="000000"/>
          <w:sz w:val="24"/>
          <w:szCs w:val="24"/>
        </w:rPr>
      </w:pPr>
    </w:p>
    <w:p w14:paraId="722057E6" w14:textId="77777777" w:rsidR="00DA6E9C" w:rsidRDefault="00DA6E9C">
      <w:pPr>
        <w:pBdr>
          <w:top w:val="nil"/>
          <w:left w:val="nil"/>
          <w:bottom w:val="nil"/>
          <w:right w:val="nil"/>
          <w:between w:val="nil"/>
        </w:pBdr>
        <w:shd w:val="clear" w:color="auto" w:fill="FFFFFF"/>
        <w:spacing w:after="0" w:line="240" w:lineRule="auto"/>
        <w:jc w:val="both"/>
        <w:rPr>
          <w:rFonts w:ascii="Cambria" w:eastAsia="Cambria" w:hAnsi="Cambria" w:cs="Cambria"/>
          <w:b/>
          <w:color w:val="000000"/>
          <w:sz w:val="24"/>
          <w:szCs w:val="24"/>
        </w:rPr>
      </w:pPr>
    </w:p>
    <w:p w14:paraId="61CA6B87" w14:textId="77777777" w:rsidR="00DA6E9C" w:rsidRDefault="00000000">
      <w:pPr>
        <w:pBdr>
          <w:top w:val="nil"/>
          <w:left w:val="nil"/>
          <w:bottom w:val="nil"/>
          <w:right w:val="nil"/>
          <w:between w:val="nil"/>
        </w:pBdr>
        <w:shd w:val="clear" w:color="auto" w:fill="FFFFFF"/>
        <w:spacing w:after="0" w:line="240" w:lineRule="auto"/>
        <w:ind w:left="426" w:hanging="425"/>
        <w:jc w:val="both"/>
        <w:rPr>
          <w:rFonts w:ascii="Cambria" w:eastAsia="Cambria" w:hAnsi="Cambria" w:cs="Cambria"/>
          <w:color w:val="000000"/>
          <w:sz w:val="24"/>
          <w:szCs w:val="24"/>
        </w:rPr>
      </w:pPr>
      <w:r>
        <w:rPr>
          <w:rFonts w:ascii="Cambria" w:eastAsia="Cambria" w:hAnsi="Cambria" w:cs="Cambria"/>
          <w:b/>
          <w:color w:val="000000"/>
          <w:sz w:val="24"/>
          <w:szCs w:val="24"/>
        </w:rPr>
        <w:t>Data Collection</w:t>
      </w:r>
    </w:p>
    <w:p w14:paraId="69C14B08" w14:textId="0B0111D0" w:rsidR="00DA6E9C" w:rsidRDefault="005D3EF1" w:rsidP="005D3EF1">
      <w:pPr>
        <w:shd w:val="clear" w:color="auto" w:fill="FFFFFF"/>
        <w:spacing w:after="0" w:line="240" w:lineRule="auto"/>
        <w:jc w:val="both"/>
        <w:rPr>
          <w:rFonts w:ascii="Cambria" w:eastAsia="Cambria" w:hAnsi="Cambria" w:cs="Cambria"/>
          <w:sz w:val="24"/>
          <w:szCs w:val="24"/>
        </w:rPr>
      </w:pPr>
      <w:r w:rsidRPr="005D3EF1">
        <w:t>Data were collected between May and July 2024 at a Baptist Hospital, Kediri City, East Java. Participants completed the self-administered questionnaire during their working hours in a designated area within their respective units to ensure comfort and minimize disruption to clinical duties. Data collection was carried out by the primary researcher with assistance from nurse assistants from Baptist Hospital, Kediri City, who supported the coordination and distribution of questionnaires to eligible participants.</w:t>
      </w:r>
    </w:p>
    <w:p w14:paraId="376864B2"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t>Data Analysis</w:t>
      </w:r>
    </w:p>
    <w:p w14:paraId="3AEBE4FE" w14:textId="51DFF2A7" w:rsidR="00DA6E9C" w:rsidRDefault="005D3EF1" w:rsidP="006F316D">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highlight w:val="lightGray"/>
        </w:rPr>
      </w:pPr>
      <w:r w:rsidRPr="005D3EF1">
        <w:rPr>
          <w:rFonts w:ascii="Times New Roman" w:eastAsia="Times New Roman" w:hAnsi="Times New Roman" w:cs="Times New Roman"/>
          <w:sz w:val="24"/>
          <w:szCs w:val="24"/>
        </w:rPr>
        <w:t>Data were analyzed using SPSS version 26. Descriptive statistics, including mean, standard deviation, frequency, and percentage, were used to summarize participant characteristics and burnout levels. Inferential analysis was conducted using the Mann–Whitney U test to compare burnout levels between nurses working in critical care units and those in inpatient wards, as the data were not normally distributed. A significance level of p &lt; 0.05 was applied to determine statistical significance.</w:t>
      </w:r>
    </w:p>
    <w:p w14:paraId="06BCC66F" w14:textId="77777777" w:rsidR="00DA6E9C" w:rsidRDefault="00DA6E9C">
      <w:pPr>
        <w:pBdr>
          <w:top w:val="nil"/>
          <w:left w:val="nil"/>
          <w:bottom w:val="nil"/>
          <w:right w:val="nil"/>
          <w:between w:val="nil"/>
        </w:pBdr>
        <w:shd w:val="clear" w:color="auto" w:fill="FFFFFF"/>
        <w:spacing w:after="0" w:line="240" w:lineRule="auto"/>
        <w:ind w:left="426"/>
        <w:jc w:val="both"/>
        <w:rPr>
          <w:rFonts w:ascii="Cambria" w:eastAsia="Cambria" w:hAnsi="Cambria" w:cs="Cambria"/>
          <w:color w:val="000000"/>
          <w:sz w:val="24"/>
          <w:szCs w:val="24"/>
        </w:rPr>
      </w:pPr>
    </w:p>
    <w:p w14:paraId="131541DB" w14:textId="77777777" w:rsidR="00DA6E9C" w:rsidRDefault="00000000" w:rsidP="006F316D">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rPr>
        <w:t>Ethical Consideration</w:t>
      </w:r>
    </w:p>
    <w:p w14:paraId="464EFEBA" w14:textId="77777777" w:rsidR="005D3EF1" w:rsidRDefault="005D3EF1" w:rsidP="006F316D">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bookmarkStart w:id="4" w:name="_heading=h.u6hdzguuu4w6" w:colFirst="0" w:colLast="0"/>
      <w:bookmarkEnd w:id="4"/>
      <w:r w:rsidRPr="005D3EF1">
        <w:rPr>
          <w:rFonts w:ascii="Cambria" w:eastAsia="Cambria" w:hAnsi="Cambria" w:cs="Cambria"/>
          <w:color w:val="000000"/>
          <w:sz w:val="24"/>
          <w:szCs w:val="24"/>
        </w:rPr>
        <w:lastRenderedPageBreak/>
        <w:t>This study received ethical approval from the Baptist Hospital Health College Ethics Committee</w:t>
      </w:r>
      <w:r>
        <w:rPr>
          <w:rFonts w:ascii="Cambria" w:eastAsia="Cambria" w:hAnsi="Cambria" w:cs="Cambria"/>
          <w:color w:val="000000"/>
          <w:sz w:val="24"/>
          <w:szCs w:val="24"/>
        </w:rPr>
        <w:t xml:space="preserve">. </w:t>
      </w:r>
      <w:r w:rsidRPr="005D3EF1">
        <w:rPr>
          <w:rFonts w:ascii="Cambria" w:eastAsia="Cambria" w:hAnsi="Cambria" w:cs="Cambria"/>
          <w:color w:val="000000"/>
          <w:sz w:val="24"/>
          <w:szCs w:val="24"/>
        </w:rPr>
        <w:t>All participants were informed about the purpose of the study, and written informed consent was obtained prior to data collection. Confidentiality, anonymity, and voluntary participation were ensured throughout the research process. No additional ethical approvals were required.</w:t>
      </w:r>
    </w:p>
    <w:p w14:paraId="0BE930D2" w14:textId="77777777" w:rsidR="005D3EF1" w:rsidRDefault="005D3EF1" w:rsidP="006F316D">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4"/>
          <w:szCs w:val="24"/>
        </w:rPr>
      </w:pPr>
    </w:p>
    <w:p w14:paraId="6565931E" w14:textId="5F8EFF68" w:rsidR="00DA6E9C" w:rsidRDefault="00000000" w:rsidP="006F316D">
      <w:pPr>
        <w:pBdr>
          <w:top w:val="nil"/>
          <w:left w:val="nil"/>
          <w:bottom w:val="nil"/>
          <w:right w:val="nil"/>
          <w:between w:val="nil"/>
        </w:pBdr>
        <w:shd w:val="clear" w:color="auto" w:fill="FFFFFF"/>
        <w:spacing w:after="0" w:line="240" w:lineRule="auto"/>
        <w:jc w:val="both"/>
        <w:rPr>
          <w:rFonts w:ascii="Cambria" w:eastAsia="Cambria" w:hAnsi="Cambria" w:cs="Cambria"/>
          <w:b/>
          <w:color w:val="000000"/>
          <w:sz w:val="28"/>
          <w:szCs w:val="28"/>
        </w:rPr>
      </w:pPr>
      <w:r>
        <w:rPr>
          <w:rFonts w:ascii="Cambria" w:eastAsia="Cambria" w:hAnsi="Cambria" w:cs="Cambria"/>
          <w:b/>
          <w:color w:val="000000"/>
          <w:sz w:val="28"/>
          <w:szCs w:val="28"/>
        </w:rPr>
        <w:t>Results</w:t>
      </w:r>
    </w:p>
    <w:p w14:paraId="18440657" w14:textId="77777777" w:rsidR="005D3EF1" w:rsidRDefault="005D3EF1" w:rsidP="006F316D">
      <w:pPr>
        <w:pBdr>
          <w:top w:val="nil"/>
          <w:left w:val="nil"/>
          <w:bottom w:val="nil"/>
          <w:right w:val="nil"/>
          <w:between w:val="nil"/>
        </w:pBdr>
        <w:shd w:val="clear" w:color="auto" w:fill="FFFFFF"/>
        <w:spacing w:after="0" w:line="240" w:lineRule="auto"/>
        <w:jc w:val="both"/>
        <w:rPr>
          <w:rFonts w:ascii="Cambria" w:eastAsia="Cambria" w:hAnsi="Cambria" w:cs="Cambria"/>
          <w:b/>
          <w:color w:val="000000"/>
          <w:sz w:val="28"/>
          <w:szCs w:val="28"/>
        </w:rPr>
      </w:pPr>
    </w:p>
    <w:p w14:paraId="458BD780" w14:textId="77777777" w:rsidR="006F316D" w:rsidRDefault="006F316D" w:rsidP="006F316D">
      <w:pPr>
        <w:pBdr>
          <w:top w:val="nil"/>
          <w:left w:val="nil"/>
          <w:bottom w:val="nil"/>
          <w:right w:val="nil"/>
          <w:between w:val="nil"/>
        </w:pBdr>
        <w:shd w:val="clear" w:color="auto" w:fill="FFFFFF"/>
        <w:spacing w:after="0" w:line="240" w:lineRule="auto"/>
        <w:jc w:val="both"/>
      </w:pPr>
      <w:r>
        <w:t>A total of 97 nurses participated in this study, with 21 nurses working in the Critical Area and 76 in the Adult Inpatient Unit. Most participants were female (81.4%) and aged 26–45 years (70.1%). Regarding education, 52.6% were registered nurses, and the majority held functional nurse positions (93.8%).</w:t>
      </w:r>
    </w:p>
    <w:p w14:paraId="20D7194D" w14:textId="77777777" w:rsidR="006F316D" w:rsidRDefault="006F316D" w:rsidP="006F316D">
      <w:pPr>
        <w:pBdr>
          <w:top w:val="nil"/>
          <w:left w:val="nil"/>
          <w:bottom w:val="nil"/>
          <w:right w:val="nil"/>
          <w:between w:val="nil"/>
        </w:pBdr>
        <w:shd w:val="clear" w:color="auto" w:fill="FFFFFF"/>
        <w:spacing w:after="0" w:line="240" w:lineRule="auto"/>
        <w:jc w:val="both"/>
      </w:pPr>
    </w:p>
    <w:p w14:paraId="76F2639B" w14:textId="77777777" w:rsidR="006F316D" w:rsidRDefault="006F316D" w:rsidP="006F316D">
      <w:pPr>
        <w:pBdr>
          <w:top w:val="nil"/>
          <w:left w:val="nil"/>
          <w:bottom w:val="nil"/>
          <w:right w:val="nil"/>
          <w:between w:val="nil"/>
        </w:pBdr>
        <w:shd w:val="clear" w:color="auto" w:fill="FFFFFF"/>
        <w:spacing w:after="0" w:line="240" w:lineRule="auto"/>
        <w:jc w:val="both"/>
      </w:pPr>
      <w:r>
        <w:t>The overall burnout levels differed between the two units. In the Critical Area, most nurses reported low burnout (85.7%), with 14.3% reporting moderate burnout and none reporting high burnout. Conversely, in the Adult Inpatient Unit, only 52.6% of nurses reported low burnout, 42.1% reported moderate burnout, and 5.3% reported high burnout.</w:t>
      </w:r>
    </w:p>
    <w:p w14:paraId="4BE419D5" w14:textId="77777777" w:rsidR="006F316D" w:rsidRDefault="006F316D" w:rsidP="006F316D">
      <w:pPr>
        <w:pBdr>
          <w:top w:val="nil"/>
          <w:left w:val="nil"/>
          <w:bottom w:val="nil"/>
          <w:right w:val="nil"/>
          <w:between w:val="nil"/>
        </w:pBdr>
        <w:shd w:val="clear" w:color="auto" w:fill="FFFFFF"/>
        <w:spacing w:after="0" w:line="240" w:lineRule="auto"/>
        <w:jc w:val="both"/>
      </w:pPr>
    </w:p>
    <w:p w14:paraId="08BFE935" w14:textId="77777777" w:rsidR="006F316D" w:rsidRDefault="006F316D" w:rsidP="006F316D">
      <w:pPr>
        <w:pBdr>
          <w:top w:val="nil"/>
          <w:left w:val="nil"/>
          <w:bottom w:val="nil"/>
          <w:right w:val="nil"/>
          <w:between w:val="nil"/>
        </w:pBdr>
        <w:shd w:val="clear" w:color="auto" w:fill="FFFFFF"/>
        <w:spacing w:after="0" w:line="240" w:lineRule="auto"/>
        <w:jc w:val="both"/>
      </w:pPr>
      <w:r>
        <w:t>A Mann-Whitney U test was conducted to compare burnout levels between the two groups. The results showed a statistically significant difference in burnout levels (U = 528.000, Z = -2.751, p = 0.006), indicating that nurses in the Adult Inpatient Unit experienced higher levels of burnout compared to those in the Critical Area.</w:t>
      </w:r>
    </w:p>
    <w:p w14:paraId="45624E27" w14:textId="77777777" w:rsidR="006F316D" w:rsidRDefault="006F316D" w:rsidP="006F316D">
      <w:pPr>
        <w:pBdr>
          <w:top w:val="nil"/>
          <w:left w:val="nil"/>
          <w:bottom w:val="nil"/>
          <w:right w:val="nil"/>
          <w:between w:val="nil"/>
        </w:pBdr>
        <w:shd w:val="clear" w:color="auto" w:fill="FFFFFF"/>
        <w:spacing w:after="0" w:line="240" w:lineRule="auto"/>
        <w:jc w:val="both"/>
      </w:pPr>
    </w:p>
    <w:p w14:paraId="675CF4F9" w14:textId="77777777" w:rsidR="006F316D" w:rsidRDefault="006F316D" w:rsidP="006F316D">
      <w:pPr>
        <w:pBdr>
          <w:top w:val="nil"/>
          <w:left w:val="nil"/>
          <w:bottom w:val="nil"/>
          <w:right w:val="nil"/>
          <w:between w:val="nil"/>
        </w:pBdr>
        <w:shd w:val="clear" w:color="auto" w:fill="FFFFFF"/>
        <w:spacing w:after="0" w:line="240" w:lineRule="auto"/>
        <w:jc w:val="both"/>
      </w:pPr>
      <w:r>
        <w:t>Other demographic and professional characteristics—including age, gender, education, work experience, and position—did not show statistically significant differences between the two groups (all p &gt; 0.05). This suggests that the observed difference in burnout is likely related to the unit type rather than demographic factors.</w:t>
      </w:r>
    </w:p>
    <w:p w14:paraId="742EE73F" w14:textId="77777777" w:rsidR="006F316D" w:rsidRDefault="006F316D" w:rsidP="006F316D">
      <w:pPr>
        <w:pBdr>
          <w:top w:val="nil"/>
          <w:left w:val="nil"/>
          <w:bottom w:val="nil"/>
          <w:right w:val="nil"/>
          <w:between w:val="nil"/>
        </w:pBdr>
        <w:shd w:val="clear" w:color="auto" w:fill="FFFFFF"/>
        <w:spacing w:after="0" w:line="240" w:lineRule="auto"/>
        <w:jc w:val="both"/>
      </w:pPr>
    </w:p>
    <w:p w14:paraId="08E34D0D" w14:textId="466A4037" w:rsidR="005D3EF1" w:rsidRDefault="006F316D" w:rsidP="006F316D">
      <w:pPr>
        <w:pBdr>
          <w:top w:val="nil"/>
          <w:left w:val="nil"/>
          <w:bottom w:val="nil"/>
          <w:right w:val="nil"/>
          <w:between w:val="nil"/>
        </w:pBdr>
        <w:shd w:val="clear" w:color="auto" w:fill="FFFFFF"/>
        <w:spacing w:after="0" w:line="240" w:lineRule="auto"/>
        <w:jc w:val="both"/>
      </w:pPr>
      <w:r>
        <w:t>In summary, nurses working in the Adult Inpatient Unit are at greater risk of burnout compared to their counterparts in the Critical Area, highlighting the need for targeted interventions to support staff well-being in these settings.</w:t>
      </w:r>
    </w:p>
    <w:p w14:paraId="342EC48F" w14:textId="77777777" w:rsidR="005D3EF1" w:rsidRDefault="005D3EF1" w:rsidP="006F316D">
      <w:pPr>
        <w:pBdr>
          <w:top w:val="nil"/>
          <w:left w:val="nil"/>
          <w:bottom w:val="nil"/>
          <w:right w:val="nil"/>
          <w:between w:val="nil"/>
        </w:pBdr>
        <w:shd w:val="clear" w:color="auto" w:fill="FFFFFF"/>
        <w:spacing w:after="0" w:line="240" w:lineRule="auto"/>
        <w:jc w:val="both"/>
      </w:pPr>
    </w:p>
    <w:p w14:paraId="462DA1BB" w14:textId="6FAA92D1" w:rsidR="005D3EF1" w:rsidRDefault="005D3EF1" w:rsidP="006F316D">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0"/>
          <w:szCs w:val="20"/>
        </w:rPr>
      </w:pPr>
      <w:r>
        <w:t>Table 1. Distribution of Participant Characteristics by Work Unit (n = 97)</w:t>
      </w:r>
    </w:p>
    <w:p w14:paraId="12CC50F9" w14:textId="77777777" w:rsidR="00DA6E9C" w:rsidRDefault="00DA6E9C">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tbl>
      <w:tblPr>
        <w:tblW w:w="8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479"/>
        <w:gridCol w:w="1295"/>
        <w:gridCol w:w="1264"/>
        <w:gridCol w:w="1260"/>
        <w:gridCol w:w="813"/>
        <w:gridCol w:w="948"/>
      </w:tblGrid>
      <w:tr w:rsidR="006F316D" w:rsidRPr="006F316D" w14:paraId="1F882623" w14:textId="77777777" w:rsidTr="006F316D">
        <w:trPr>
          <w:trHeight w:val="20"/>
        </w:trPr>
        <w:tc>
          <w:tcPr>
            <w:tcW w:w="1195" w:type="dxa"/>
            <w:vAlign w:val="center"/>
            <w:hideMark/>
          </w:tcPr>
          <w:p w14:paraId="78B6716F"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Variable</w:t>
            </w:r>
          </w:p>
        </w:tc>
        <w:tc>
          <w:tcPr>
            <w:tcW w:w="1479" w:type="dxa"/>
            <w:vAlign w:val="center"/>
            <w:hideMark/>
          </w:tcPr>
          <w:p w14:paraId="0A2AAF3B"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Category</w:t>
            </w:r>
          </w:p>
        </w:tc>
        <w:tc>
          <w:tcPr>
            <w:tcW w:w="1295" w:type="dxa"/>
            <w:vAlign w:val="center"/>
            <w:hideMark/>
          </w:tcPr>
          <w:p w14:paraId="2291204F"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Critical Area (n, %)</w:t>
            </w:r>
          </w:p>
        </w:tc>
        <w:tc>
          <w:tcPr>
            <w:tcW w:w="1264" w:type="dxa"/>
            <w:vAlign w:val="center"/>
            <w:hideMark/>
          </w:tcPr>
          <w:p w14:paraId="3491412E"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Adult Inpatient Unit (n, %)</w:t>
            </w:r>
          </w:p>
        </w:tc>
        <w:tc>
          <w:tcPr>
            <w:tcW w:w="1260" w:type="dxa"/>
            <w:vAlign w:val="center"/>
            <w:hideMark/>
          </w:tcPr>
          <w:p w14:paraId="437E4A51"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Total (n, %)</w:t>
            </w:r>
          </w:p>
        </w:tc>
        <w:tc>
          <w:tcPr>
            <w:tcW w:w="813" w:type="dxa"/>
            <w:vAlign w:val="center"/>
            <w:hideMark/>
          </w:tcPr>
          <w:p w14:paraId="79D21EB7"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Z</w:t>
            </w:r>
          </w:p>
        </w:tc>
        <w:tc>
          <w:tcPr>
            <w:tcW w:w="948" w:type="dxa"/>
            <w:vAlign w:val="center"/>
            <w:hideMark/>
          </w:tcPr>
          <w:p w14:paraId="0CF148F2" w14:textId="77777777" w:rsidR="006F316D" w:rsidRPr="006F316D" w:rsidRDefault="006F316D" w:rsidP="006F316D">
            <w:pPr>
              <w:spacing w:after="0" w:line="240" w:lineRule="auto"/>
              <w:jc w:val="center"/>
              <w:rPr>
                <w:rFonts w:eastAsia="Times New Roman"/>
                <w:b/>
                <w:bCs/>
                <w:color w:val="000000"/>
                <w:sz w:val="20"/>
                <w:szCs w:val="20"/>
              </w:rPr>
            </w:pPr>
            <w:r w:rsidRPr="006F316D">
              <w:rPr>
                <w:rFonts w:eastAsia="Times New Roman"/>
                <w:b/>
                <w:bCs/>
                <w:color w:val="000000"/>
                <w:sz w:val="20"/>
                <w:szCs w:val="20"/>
              </w:rPr>
              <w:t>Asymp. Sig. (2-tailed)</w:t>
            </w:r>
          </w:p>
        </w:tc>
      </w:tr>
      <w:tr w:rsidR="006F316D" w:rsidRPr="006F316D" w14:paraId="68B16167" w14:textId="77777777" w:rsidTr="006F316D">
        <w:trPr>
          <w:trHeight w:val="20"/>
        </w:trPr>
        <w:tc>
          <w:tcPr>
            <w:tcW w:w="1195" w:type="dxa"/>
            <w:vAlign w:val="center"/>
            <w:hideMark/>
          </w:tcPr>
          <w:p w14:paraId="452BC55C"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Age (years)</w:t>
            </w:r>
          </w:p>
        </w:tc>
        <w:tc>
          <w:tcPr>
            <w:tcW w:w="1479" w:type="dxa"/>
            <w:vAlign w:val="center"/>
            <w:hideMark/>
          </w:tcPr>
          <w:p w14:paraId="3B3F408D"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17–25</w:t>
            </w:r>
          </w:p>
        </w:tc>
        <w:tc>
          <w:tcPr>
            <w:tcW w:w="1295" w:type="dxa"/>
            <w:vAlign w:val="center"/>
            <w:hideMark/>
          </w:tcPr>
          <w:p w14:paraId="049C2ACE"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6 (28.6%)</w:t>
            </w:r>
          </w:p>
        </w:tc>
        <w:tc>
          <w:tcPr>
            <w:tcW w:w="1264" w:type="dxa"/>
            <w:vAlign w:val="center"/>
            <w:hideMark/>
          </w:tcPr>
          <w:p w14:paraId="7622E28C"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13 (17.1%)</w:t>
            </w:r>
          </w:p>
        </w:tc>
        <w:tc>
          <w:tcPr>
            <w:tcW w:w="1260" w:type="dxa"/>
            <w:vAlign w:val="center"/>
            <w:hideMark/>
          </w:tcPr>
          <w:p w14:paraId="3359FA2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19 (19.6%)</w:t>
            </w:r>
          </w:p>
        </w:tc>
        <w:tc>
          <w:tcPr>
            <w:tcW w:w="813" w:type="dxa"/>
            <w:vAlign w:val="center"/>
            <w:hideMark/>
          </w:tcPr>
          <w:p w14:paraId="338FAC1F"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-0.964</w:t>
            </w:r>
          </w:p>
        </w:tc>
        <w:tc>
          <w:tcPr>
            <w:tcW w:w="948" w:type="dxa"/>
            <w:vAlign w:val="center"/>
            <w:hideMark/>
          </w:tcPr>
          <w:p w14:paraId="29CAEB4B"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0.335</w:t>
            </w:r>
          </w:p>
        </w:tc>
      </w:tr>
      <w:tr w:rsidR="006F316D" w:rsidRPr="006F316D" w14:paraId="1F475317" w14:textId="77777777" w:rsidTr="006F316D">
        <w:trPr>
          <w:trHeight w:val="20"/>
        </w:trPr>
        <w:tc>
          <w:tcPr>
            <w:tcW w:w="1195" w:type="dxa"/>
            <w:vAlign w:val="center"/>
            <w:hideMark/>
          </w:tcPr>
          <w:p w14:paraId="77F29F5B" w14:textId="77777777" w:rsidR="006F316D" w:rsidRPr="006F316D" w:rsidRDefault="006F316D" w:rsidP="006F316D">
            <w:pPr>
              <w:spacing w:after="0" w:line="240" w:lineRule="auto"/>
              <w:jc w:val="right"/>
              <w:rPr>
                <w:rFonts w:eastAsia="Times New Roman"/>
                <w:color w:val="000000"/>
                <w:sz w:val="20"/>
                <w:szCs w:val="20"/>
              </w:rPr>
            </w:pPr>
          </w:p>
        </w:tc>
        <w:tc>
          <w:tcPr>
            <w:tcW w:w="1479" w:type="dxa"/>
            <w:vAlign w:val="center"/>
            <w:hideMark/>
          </w:tcPr>
          <w:p w14:paraId="31D85853"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26–45</w:t>
            </w:r>
          </w:p>
        </w:tc>
        <w:tc>
          <w:tcPr>
            <w:tcW w:w="1295" w:type="dxa"/>
            <w:vAlign w:val="center"/>
            <w:hideMark/>
          </w:tcPr>
          <w:p w14:paraId="53C14224"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13 (61.9%)</w:t>
            </w:r>
          </w:p>
        </w:tc>
        <w:tc>
          <w:tcPr>
            <w:tcW w:w="1264" w:type="dxa"/>
            <w:vAlign w:val="center"/>
            <w:hideMark/>
          </w:tcPr>
          <w:p w14:paraId="38133EB0"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55 (72.4%)</w:t>
            </w:r>
          </w:p>
        </w:tc>
        <w:tc>
          <w:tcPr>
            <w:tcW w:w="1260" w:type="dxa"/>
            <w:vAlign w:val="center"/>
            <w:hideMark/>
          </w:tcPr>
          <w:p w14:paraId="5558B715"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68 (70.1%)</w:t>
            </w:r>
          </w:p>
        </w:tc>
        <w:tc>
          <w:tcPr>
            <w:tcW w:w="813" w:type="dxa"/>
            <w:vAlign w:val="center"/>
            <w:hideMark/>
          </w:tcPr>
          <w:p w14:paraId="3D2D1AF7"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06705A5D"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792BD77E" w14:textId="77777777" w:rsidTr="006F316D">
        <w:trPr>
          <w:trHeight w:val="20"/>
        </w:trPr>
        <w:tc>
          <w:tcPr>
            <w:tcW w:w="1195" w:type="dxa"/>
            <w:vAlign w:val="center"/>
            <w:hideMark/>
          </w:tcPr>
          <w:p w14:paraId="0E4B60C4"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479" w:type="dxa"/>
            <w:vAlign w:val="center"/>
            <w:hideMark/>
          </w:tcPr>
          <w:p w14:paraId="7CCBF6A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46–65</w:t>
            </w:r>
          </w:p>
        </w:tc>
        <w:tc>
          <w:tcPr>
            <w:tcW w:w="1295" w:type="dxa"/>
            <w:vAlign w:val="center"/>
            <w:hideMark/>
          </w:tcPr>
          <w:p w14:paraId="37C22808"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2 (9.5%)</w:t>
            </w:r>
          </w:p>
        </w:tc>
        <w:tc>
          <w:tcPr>
            <w:tcW w:w="1264" w:type="dxa"/>
            <w:vAlign w:val="center"/>
            <w:hideMark/>
          </w:tcPr>
          <w:p w14:paraId="2E8679C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8 (10.5%)</w:t>
            </w:r>
          </w:p>
        </w:tc>
        <w:tc>
          <w:tcPr>
            <w:tcW w:w="1260" w:type="dxa"/>
            <w:vAlign w:val="center"/>
            <w:hideMark/>
          </w:tcPr>
          <w:p w14:paraId="77FA639D"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10 (10.3%)</w:t>
            </w:r>
          </w:p>
        </w:tc>
        <w:tc>
          <w:tcPr>
            <w:tcW w:w="813" w:type="dxa"/>
            <w:vAlign w:val="center"/>
            <w:hideMark/>
          </w:tcPr>
          <w:p w14:paraId="4F409AAA"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7C7A4166"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55F66272" w14:textId="77777777" w:rsidTr="006F316D">
        <w:trPr>
          <w:trHeight w:val="20"/>
        </w:trPr>
        <w:tc>
          <w:tcPr>
            <w:tcW w:w="1195" w:type="dxa"/>
            <w:vAlign w:val="center"/>
            <w:hideMark/>
          </w:tcPr>
          <w:p w14:paraId="21F6FD47"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Gender</w:t>
            </w:r>
          </w:p>
        </w:tc>
        <w:tc>
          <w:tcPr>
            <w:tcW w:w="1479" w:type="dxa"/>
            <w:vAlign w:val="center"/>
            <w:hideMark/>
          </w:tcPr>
          <w:p w14:paraId="1B5F540D"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Male</w:t>
            </w:r>
          </w:p>
        </w:tc>
        <w:tc>
          <w:tcPr>
            <w:tcW w:w="1295" w:type="dxa"/>
            <w:vAlign w:val="center"/>
            <w:hideMark/>
          </w:tcPr>
          <w:p w14:paraId="33284699"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3 (14.3%)</w:t>
            </w:r>
          </w:p>
        </w:tc>
        <w:tc>
          <w:tcPr>
            <w:tcW w:w="1264" w:type="dxa"/>
            <w:vAlign w:val="center"/>
            <w:hideMark/>
          </w:tcPr>
          <w:p w14:paraId="2B292730"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15 (19.7%)</w:t>
            </w:r>
          </w:p>
        </w:tc>
        <w:tc>
          <w:tcPr>
            <w:tcW w:w="1260" w:type="dxa"/>
            <w:vAlign w:val="center"/>
            <w:hideMark/>
          </w:tcPr>
          <w:p w14:paraId="64D11A7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18 (18.6%)</w:t>
            </w:r>
          </w:p>
        </w:tc>
        <w:tc>
          <w:tcPr>
            <w:tcW w:w="813" w:type="dxa"/>
            <w:vAlign w:val="center"/>
            <w:hideMark/>
          </w:tcPr>
          <w:p w14:paraId="099787C4"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-0.566</w:t>
            </w:r>
          </w:p>
        </w:tc>
        <w:tc>
          <w:tcPr>
            <w:tcW w:w="948" w:type="dxa"/>
            <w:vAlign w:val="center"/>
            <w:hideMark/>
          </w:tcPr>
          <w:p w14:paraId="154011C5"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0.572</w:t>
            </w:r>
          </w:p>
        </w:tc>
      </w:tr>
      <w:tr w:rsidR="006F316D" w:rsidRPr="006F316D" w14:paraId="7E417E31" w14:textId="77777777" w:rsidTr="006F316D">
        <w:trPr>
          <w:trHeight w:val="20"/>
        </w:trPr>
        <w:tc>
          <w:tcPr>
            <w:tcW w:w="1195" w:type="dxa"/>
            <w:vAlign w:val="center"/>
            <w:hideMark/>
          </w:tcPr>
          <w:p w14:paraId="682B8BE0" w14:textId="77777777" w:rsidR="006F316D" w:rsidRPr="006F316D" w:rsidRDefault="006F316D" w:rsidP="006F316D">
            <w:pPr>
              <w:spacing w:after="0" w:line="240" w:lineRule="auto"/>
              <w:jc w:val="right"/>
              <w:rPr>
                <w:rFonts w:eastAsia="Times New Roman"/>
                <w:color w:val="000000"/>
                <w:sz w:val="20"/>
                <w:szCs w:val="20"/>
              </w:rPr>
            </w:pPr>
          </w:p>
        </w:tc>
        <w:tc>
          <w:tcPr>
            <w:tcW w:w="1479" w:type="dxa"/>
            <w:vAlign w:val="center"/>
            <w:hideMark/>
          </w:tcPr>
          <w:p w14:paraId="69A1EFC2"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Female</w:t>
            </w:r>
          </w:p>
        </w:tc>
        <w:tc>
          <w:tcPr>
            <w:tcW w:w="1295" w:type="dxa"/>
            <w:vAlign w:val="center"/>
            <w:hideMark/>
          </w:tcPr>
          <w:p w14:paraId="0477C81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18 (85.7%)</w:t>
            </w:r>
          </w:p>
        </w:tc>
        <w:tc>
          <w:tcPr>
            <w:tcW w:w="1264" w:type="dxa"/>
            <w:vAlign w:val="center"/>
            <w:hideMark/>
          </w:tcPr>
          <w:p w14:paraId="0243A8F8"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61 (80.3%)</w:t>
            </w:r>
          </w:p>
        </w:tc>
        <w:tc>
          <w:tcPr>
            <w:tcW w:w="1260" w:type="dxa"/>
            <w:vAlign w:val="center"/>
            <w:hideMark/>
          </w:tcPr>
          <w:p w14:paraId="78B5F5AD"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79 (81.4%)</w:t>
            </w:r>
          </w:p>
        </w:tc>
        <w:tc>
          <w:tcPr>
            <w:tcW w:w="813" w:type="dxa"/>
            <w:vAlign w:val="center"/>
            <w:hideMark/>
          </w:tcPr>
          <w:p w14:paraId="24F49B6C"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56FB3588"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0E37984C" w14:textId="77777777" w:rsidTr="006F316D">
        <w:trPr>
          <w:trHeight w:val="20"/>
        </w:trPr>
        <w:tc>
          <w:tcPr>
            <w:tcW w:w="1195" w:type="dxa"/>
            <w:vAlign w:val="center"/>
            <w:hideMark/>
          </w:tcPr>
          <w:p w14:paraId="31930B33"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Education</w:t>
            </w:r>
          </w:p>
        </w:tc>
        <w:tc>
          <w:tcPr>
            <w:tcW w:w="1479" w:type="dxa"/>
            <w:vAlign w:val="center"/>
            <w:hideMark/>
          </w:tcPr>
          <w:p w14:paraId="71215E7E"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Nurse Diploma</w:t>
            </w:r>
          </w:p>
        </w:tc>
        <w:tc>
          <w:tcPr>
            <w:tcW w:w="1295" w:type="dxa"/>
            <w:vAlign w:val="center"/>
            <w:hideMark/>
          </w:tcPr>
          <w:p w14:paraId="2833061B"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9 (42.9%)</w:t>
            </w:r>
          </w:p>
        </w:tc>
        <w:tc>
          <w:tcPr>
            <w:tcW w:w="1264" w:type="dxa"/>
            <w:vAlign w:val="center"/>
            <w:hideMark/>
          </w:tcPr>
          <w:p w14:paraId="487DF6E0"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37 (48.7%)</w:t>
            </w:r>
          </w:p>
        </w:tc>
        <w:tc>
          <w:tcPr>
            <w:tcW w:w="1260" w:type="dxa"/>
            <w:vAlign w:val="center"/>
            <w:hideMark/>
          </w:tcPr>
          <w:p w14:paraId="2374CAA4"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46 (47.4%)</w:t>
            </w:r>
          </w:p>
        </w:tc>
        <w:tc>
          <w:tcPr>
            <w:tcW w:w="813" w:type="dxa"/>
            <w:vAlign w:val="center"/>
            <w:hideMark/>
          </w:tcPr>
          <w:p w14:paraId="6FA71586"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-0.471</w:t>
            </w:r>
          </w:p>
        </w:tc>
        <w:tc>
          <w:tcPr>
            <w:tcW w:w="948" w:type="dxa"/>
            <w:vAlign w:val="center"/>
            <w:hideMark/>
          </w:tcPr>
          <w:p w14:paraId="77F1B19C"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0.638</w:t>
            </w:r>
          </w:p>
        </w:tc>
      </w:tr>
      <w:tr w:rsidR="006F316D" w:rsidRPr="006F316D" w14:paraId="60E3504F" w14:textId="77777777" w:rsidTr="006F316D">
        <w:trPr>
          <w:trHeight w:val="20"/>
        </w:trPr>
        <w:tc>
          <w:tcPr>
            <w:tcW w:w="1195" w:type="dxa"/>
            <w:vAlign w:val="center"/>
            <w:hideMark/>
          </w:tcPr>
          <w:p w14:paraId="05DA615F" w14:textId="77777777" w:rsidR="006F316D" w:rsidRPr="006F316D" w:rsidRDefault="006F316D" w:rsidP="006F316D">
            <w:pPr>
              <w:spacing w:after="0" w:line="240" w:lineRule="auto"/>
              <w:jc w:val="right"/>
              <w:rPr>
                <w:rFonts w:eastAsia="Times New Roman"/>
                <w:color w:val="000000"/>
                <w:sz w:val="20"/>
                <w:szCs w:val="20"/>
              </w:rPr>
            </w:pPr>
          </w:p>
        </w:tc>
        <w:tc>
          <w:tcPr>
            <w:tcW w:w="1479" w:type="dxa"/>
            <w:vAlign w:val="center"/>
            <w:hideMark/>
          </w:tcPr>
          <w:p w14:paraId="25D6311C"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Register Nurse</w:t>
            </w:r>
          </w:p>
        </w:tc>
        <w:tc>
          <w:tcPr>
            <w:tcW w:w="1295" w:type="dxa"/>
            <w:vAlign w:val="center"/>
            <w:hideMark/>
          </w:tcPr>
          <w:p w14:paraId="2526D079"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12 (57.1%)</w:t>
            </w:r>
          </w:p>
        </w:tc>
        <w:tc>
          <w:tcPr>
            <w:tcW w:w="1264" w:type="dxa"/>
            <w:vAlign w:val="center"/>
            <w:hideMark/>
          </w:tcPr>
          <w:p w14:paraId="5D186881"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39 (51.3%)</w:t>
            </w:r>
          </w:p>
        </w:tc>
        <w:tc>
          <w:tcPr>
            <w:tcW w:w="1260" w:type="dxa"/>
            <w:vAlign w:val="center"/>
            <w:hideMark/>
          </w:tcPr>
          <w:p w14:paraId="0C6DFFB2"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51 (52.6%)</w:t>
            </w:r>
          </w:p>
        </w:tc>
        <w:tc>
          <w:tcPr>
            <w:tcW w:w="813" w:type="dxa"/>
            <w:vAlign w:val="center"/>
            <w:hideMark/>
          </w:tcPr>
          <w:p w14:paraId="4F314586"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3044F7CD"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13C6D8E6" w14:textId="77777777" w:rsidTr="006F316D">
        <w:trPr>
          <w:trHeight w:val="20"/>
        </w:trPr>
        <w:tc>
          <w:tcPr>
            <w:tcW w:w="1195" w:type="dxa"/>
            <w:vAlign w:val="center"/>
            <w:hideMark/>
          </w:tcPr>
          <w:p w14:paraId="0B8CC291"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Work Experience</w:t>
            </w:r>
          </w:p>
        </w:tc>
        <w:tc>
          <w:tcPr>
            <w:tcW w:w="1479" w:type="dxa"/>
            <w:vAlign w:val="center"/>
            <w:hideMark/>
          </w:tcPr>
          <w:p w14:paraId="3210DC50"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0–1 year</w:t>
            </w:r>
          </w:p>
        </w:tc>
        <w:tc>
          <w:tcPr>
            <w:tcW w:w="1295" w:type="dxa"/>
            <w:vAlign w:val="center"/>
            <w:hideMark/>
          </w:tcPr>
          <w:p w14:paraId="4BE0C64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 (19.0%)</w:t>
            </w:r>
          </w:p>
        </w:tc>
        <w:tc>
          <w:tcPr>
            <w:tcW w:w="1264" w:type="dxa"/>
            <w:vAlign w:val="center"/>
            <w:hideMark/>
          </w:tcPr>
          <w:p w14:paraId="092343C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8 (10.5%)</w:t>
            </w:r>
          </w:p>
        </w:tc>
        <w:tc>
          <w:tcPr>
            <w:tcW w:w="1260" w:type="dxa"/>
            <w:vAlign w:val="center"/>
            <w:hideMark/>
          </w:tcPr>
          <w:p w14:paraId="28EBBC54"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12 (12.4%)</w:t>
            </w:r>
          </w:p>
        </w:tc>
        <w:tc>
          <w:tcPr>
            <w:tcW w:w="813" w:type="dxa"/>
            <w:vAlign w:val="center"/>
            <w:hideMark/>
          </w:tcPr>
          <w:p w14:paraId="058DCBA7"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-1.808</w:t>
            </w:r>
          </w:p>
        </w:tc>
        <w:tc>
          <w:tcPr>
            <w:tcW w:w="948" w:type="dxa"/>
            <w:vAlign w:val="center"/>
            <w:hideMark/>
          </w:tcPr>
          <w:p w14:paraId="2BCA87C2"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0.071</w:t>
            </w:r>
          </w:p>
        </w:tc>
      </w:tr>
      <w:tr w:rsidR="006F316D" w:rsidRPr="006F316D" w14:paraId="49A45844" w14:textId="77777777" w:rsidTr="006F316D">
        <w:trPr>
          <w:trHeight w:val="20"/>
        </w:trPr>
        <w:tc>
          <w:tcPr>
            <w:tcW w:w="1195" w:type="dxa"/>
            <w:vAlign w:val="center"/>
            <w:hideMark/>
          </w:tcPr>
          <w:p w14:paraId="4E7BA49A" w14:textId="77777777" w:rsidR="006F316D" w:rsidRPr="006F316D" w:rsidRDefault="006F316D" w:rsidP="006F316D">
            <w:pPr>
              <w:spacing w:after="0" w:line="240" w:lineRule="auto"/>
              <w:jc w:val="right"/>
              <w:rPr>
                <w:rFonts w:eastAsia="Times New Roman"/>
                <w:color w:val="000000"/>
                <w:sz w:val="20"/>
                <w:szCs w:val="20"/>
              </w:rPr>
            </w:pPr>
          </w:p>
        </w:tc>
        <w:tc>
          <w:tcPr>
            <w:tcW w:w="1479" w:type="dxa"/>
            <w:vAlign w:val="center"/>
            <w:hideMark/>
          </w:tcPr>
          <w:p w14:paraId="786698DC"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&gt;1–3 years</w:t>
            </w:r>
          </w:p>
        </w:tc>
        <w:tc>
          <w:tcPr>
            <w:tcW w:w="1295" w:type="dxa"/>
            <w:vAlign w:val="center"/>
            <w:hideMark/>
          </w:tcPr>
          <w:p w14:paraId="130325DD"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 (19.0%)</w:t>
            </w:r>
          </w:p>
        </w:tc>
        <w:tc>
          <w:tcPr>
            <w:tcW w:w="1264" w:type="dxa"/>
            <w:vAlign w:val="center"/>
            <w:hideMark/>
          </w:tcPr>
          <w:p w14:paraId="7AD03F29"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14 (18.4%)</w:t>
            </w:r>
          </w:p>
        </w:tc>
        <w:tc>
          <w:tcPr>
            <w:tcW w:w="1260" w:type="dxa"/>
            <w:vAlign w:val="center"/>
            <w:hideMark/>
          </w:tcPr>
          <w:p w14:paraId="22140AB9"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18 (18.6%)</w:t>
            </w:r>
          </w:p>
        </w:tc>
        <w:tc>
          <w:tcPr>
            <w:tcW w:w="813" w:type="dxa"/>
            <w:vAlign w:val="center"/>
            <w:hideMark/>
          </w:tcPr>
          <w:p w14:paraId="4F7BB71E"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582CCC3E"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054DE0F2" w14:textId="77777777" w:rsidTr="006F316D">
        <w:trPr>
          <w:trHeight w:val="20"/>
        </w:trPr>
        <w:tc>
          <w:tcPr>
            <w:tcW w:w="1195" w:type="dxa"/>
            <w:vAlign w:val="center"/>
            <w:hideMark/>
          </w:tcPr>
          <w:p w14:paraId="40DAF834"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479" w:type="dxa"/>
            <w:vAlign w:val="center"/>
            <w:hideMark/>
          </w:tcPr>
          <w:p w14:paraId="2B70B204"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&gt;3–5 years</w:t>
            </w:r>
          </w:p>
        </w:tc>
        <w:tc>
          <w:tcPr>
            <w:tcW w:w="1295" w:type="dxa"/>
            <w:vAlign w:val="center"/>
            <w:hideMark/>
          </w:tcPr>
          <w:p w14:paraId="1D6A161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6 (28.6%)</w:t>
            </w:r>
          </w:p>
        </w:tc>
        <w:tc>
          <w:tcPr>
            <w:tcW w:w="1264" w:type="dxa"/>
            <w:vAlign w:val="center"/>
            <w:hideMark/>
          </w:tcPr>
          <w:p w14:paraId="09DEA45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9 (11.8%)</w:t>
            </w:r>
          </w:p>
        </w:tc>
        <w:tc>
          <w:tcPr>
            <w:tcW w:w="1260" w:type="dxa"/>
            <w:vAlign w:val="center"/>
            <w:hideMark/>
          </w:tcPr>
          <w:p w14:paraId="3D533642"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15 (15.5%)</w:t>
            </w:r>
          </w:p>
        </w:tc>
        <w:tc>
          <w:tcPr>
            <w:tcW w:w="813" w:type="dxa"/>
            <w:vAlign w:val="center"/>
            <w:hideMark/>
          </w:tcPr>
          <w:p w14:paraId="53BD106B"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172BC5BF"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50331FD0" w14:textId="77777777" w:rsidTr="006F316D">
        <w:trPr>
          <w:trHeight w:val="20"/>
        </w:trPr>
        <w:tc>
          <w:tcPr>
            <w:tcW w:w="1195" w:type="dxa"/>
            <w:vAlign w:val="center"/>
            <w:hideMark/>
          </w:tcPr>
          <w:p w14:paraId="17BB4C01"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479" w:type="dxa"/>
            <w:vAlign w:val="center"/>
            <w:hideMark/>
          </w:tcPr>
          <w:p w14:paraId="075F7CA9"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&gt;5 years</w:t>
            </w:r>
          </w:p>
        </w:tc>
        <w:tc>
          <w:tcPr>
            <w:tcW w:w="1295" w:type="dxa"/>
            <w:vAlign w:val="center"/>
            <w:hideMark/>
          </w:tcPr>
          <w:p w14:paraId="753E1F01"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7 (33.3%)</w:t>
            </w:r>
          </w:p>
        </w:tc>
        <w:tc>
          <w:tcPr>
            <w:tcW w:w="1264" w:type="dxa"/>
            <w:vAlign w:val="center"/>
            <w:hideMark/>
          </w:tcPr>
          <w:p w14:paraId="6B3871BB"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45 (59.2%)</w:t>
            </w:r>
          </w:p>
        </w:tc>
        <w:tc>
          <w:tcPr>
            <w:tcW w:w="1260" w:type="dxa"/>
            <w:vAlign w:val="center"/>
            <w:hideMark/>
          </w:tcPr>
          <w:p w14:paraId="6F700340"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52 (53.6%)</w:t>
            </w:r>
          </w:p>
        </w:tc>
        <w:tc>
          <w:tcPr>
            <w:tcW w:w="813" w:type="dxa"/>
            <w:vAlign w:val="center"/>
            <w:hideMark/>
          </w:tcPr>
          <w:p w14:paraId="2F40D20F"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64C76323"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322EE86A" w14:textId="77777777" w:rsidTr="006F316D">
        <w:trPr>
          <w:trHeight w:val="20"/>
        </w:trPr>
        <w:tc>
          <w:tcPr>
            <w:tcW w:w="1195" w:type="dxa"/>
            <w:vAlign w:val="center"/>
            <w:hideMark/>
          </w:tcPr>
          <w:p w14:paraId="54585031"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Position</w:t>
            </w:r>
          </w:p>
        </w:tc>
        <w:tc>
          <w:tcPr>
            <w:tcW w:w="1479" w:type="dxa"/>
            <w:vAlign w:val="center"/>
            <w:hideMark/>
          </w:tcPr>
          <w:p w14:paraId="5B095BA3"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Nurse Manager</w:t>
            </w:r>
          </w:p>
        </w:tc>
        <w:tc>
          <w:tcPr>
            <w:tcW w:w="1295" w:type="dxa"/>
            <w:vAlign w:val="center"/>
            <w:hideMark/>
          </w:tcPr>
          <w:p w14:paraId="110D7561"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 (4.8%)</w:t>
            </w:r>
          </w:p>
        </w:tc>
        <w:tc>
          <w:tcPr>
            <w:tcW w:w="1264" w:type="dxa"/>
            <w:vAlign w:val="center"/>
            <w:hideMark/>
          </w:tcPr>
          <w:p w14:paraId="4C5CB2B3"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5 (6.6%)</w:t>
            </w:r>
          </w:p>
        </w:tc>
        <w:tc>
          <w:tcPr>
            <w:tcW w:w="1260" w:type="dxa"/>
            <w:vAlign w:val="center"/>
            <w:hideMark/>
          </w:tcPr>
          <w:p w14:paraId="1B405A2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6 (6.2%)</w:t>
            </w:r>
          </w:p>
        </w:tc>
        <w:tc>
          <w:tcPr>
            <w:tcW w:w="813" w:type="dxa"/>
            <w:vAlign w:val="center"/>
            <w:hideMark/>
          </w:tcPr>
          <w:p w14:paraId="346426DC"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-0.304</w:t>
            </w:r>
          </w:p>
        </w:tc>
        <w:tc>
          <w:tcPr>
            <w:tcW w:w="948" w:type="dxa"/>
            <w:vAlign w:val="center"/>
            <w:hideMark/>
          </w:tcPr>
          <w:p w14:paraId="0133902E"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0.761</w:t>
            </w:r>
          </w:p>
        </w:tc>
      </w:tr>
      <w:tr w:rsidR="006F316D" w:rsidRPr="006F316D" w14:paraId="508C208C" w14:textId="77777777" w:rsidTr="006F316D">
        <w:trPr>
          <w:trHeight w:val="20"/>
        </w:trPr>
        <w:tc>
          <w:tcPr>
            <w:tcW w:w="1195" w:type="dxa"/>
            <w:vAlign w:val="center"/>
            <w:hideMark/>
          </w:tcPr>
          <w:p w14:paraId="4C96EAB9" w14:textId="77777777" w:rsidR="006F316D" w:rsidRPr="006F316D" w:rsidRDefault="006F316D" w:rsidP="006F316D">
            <w:pPr>
              <w:spacing w:after="0" w:line="240" w:lineRule="auto"/>
              <w:jc w:val="right"/>
              <w:rPr>
                <w:rFonts w:eastAsia="Times New Roman"/>
                <w:color w:val="000000"/>
                <w:sz w:val="20"/>
                <w:szCs w:val="20"/>
              </w:rPr>
            </w:pPr>
          </w:p>
        </w:tc>
        <w:tc>
          <w:tcPr>
            <w:tcW w:w="1479" w:type="dxa"/>
            <w:vAlign w:val="center"/>
            <w:hideMark/>
          </w:tcPr>
          <w:p w14:paraId="54B793BC"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Functional Nurse</w:t>
            </w:r>
          </w:p>
        </w:tc>
        <w:tc>
          <w:tcPr>
            <w:tcW w:w="1295" w:type="dxa"/>
            <w:vAlign w:val="center"/>
            <w:hideMark/>
          </w:tcPr>
          <w:p w14:paraId="21AB7142"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20 (95.2%)</w:t>
            </w:r>
          </w:p>
        </w:tc>
        <w:tc>
          <w:tcPr>
            <w:tcW w:w="1264" w:type="dxa"/>
            <w:vAlign w:val="center"/>
            <w:hideMark/>
          </w:tcPr>
          <w:p w14:paraId="4924C24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71 (93.4%)</w:t>
            </w:r>
          </w:p>
        </w:tc>
        <w:tc>
          <w:tcPr>
            <w:tcW w:w="1260" w:type="dxa"/>
            <w:vAlign w:val="center"/>
            <w:hideMark/>
          </w:tcPr>
          <w:p w14:paraId="223DD458"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91 (93.8%)</w:t>
            </w:r>
          </w:p>
        </w:tc>
        <w:tc>
          <w:tcPr>
            <w:tcW w:w="813" w:type="dxa"/>
            <w:vAlign w:val="center"/>
            <w:hideMark/>
          </w:tcPr>
          <w:p w14:paraId="0BF81244"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46E16929"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5791066C" w14:textId="77777777" w:rsidTr="006F316D">
        <w:trPr>
          <w:trHeight w:val="20"/>
        </w:trPr>
        <w:tc>
          <w:tcPr>
            <w:tcW w:w="1195" w:type="dxa"/>
            <w:vAlign w:val="center"/>
            <w:hideMark/>
          </w:tcPr>
          <w:p w14:paraId="2AC98A81"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lastRenderedPageBreak/>
              <w:t>Burnout Level</w:t>
            </w:r>
          </w:p>
        </w:tc>
        <w:tc>
          <w:tcPr>
            <w:tcW w:w="1479" w:type="dxa"/>
            <w:vAlign w:val="center"/>
            <w:hideMark/>
          </w:tcPr>
          <w:p w14:paraId="10D34312"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High</w:t>
            </w:r>
          </w:p>
        </w:tc>
        <w:tc>
          <w:tcPr>
            <w:tcW w:w="1295" w:type="dxa"/>
            <w:vAlign w:val="center"/>
            <w:hideMark/>
          </w:tcPr>
          <w:p w14:paraId="13C0B29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0 (0.0%)</w:t>
            </w:r>
          </w:p>
        </w:tc>
        <w:tc>
          <w:tcPr>
            <w:tcW w:w="1264" w:type="dxa"/>
            <w:vAlign w:val="center"/>
            <w:hideMark/>
          </w:tcPr>
          <w:p w14:paraId="62908619"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 (5.3%)</w:t>
            </w:r>
          </w:p>
        </w:tc>
        <w:tc>
          <w:tcPr>
            <w:tcW w:w="1260" w:type="dxa"/>
            <w:vAlign w:val="center"/>
            <w:hideMark/>
          </w:tcPr>
          <w:p w14:paraId="5D756A36"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 (4.1%)</w:t>
            </w:r>
          </w:p>
        </w:tc>
        <w:tc>
          <w:tcPr>
            <w:tcW w:w="813" w:type="dxa"/>
            <w:vAlign w:val="center"/>
            <w:hideMark/>
          </w:tcPr>
          <w:p w14:paraId="5ECB8DB6"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-2.751</w:t>
            </w:r>
          </w:p>
        </w:tc>
        <w:tc>
          <w:tcPr>
            <w:tcW w:w="948" w:type="dxa"/>
            <w:vAlign w:val="center"/>
            <w:hideMark/>
          </w:tcPr>
          <w:p w14:paraId="4208682B" w14:textId="77777777" w:rsidR="006F316D" w:rsidRPr="006F316D" w:rsidRDefault="006F316D" w:rsidP="006F316D">
            <w:pPr>
              <w:spacing w:after="0" w:line="240" w:lineRule="auto"/>
              <w:jc w:val="right"/>
              <w:rPr>
                <w:rFonts w:eastAsia="Times New Roman"/>
                <w:color w:val="000000"/>
                <w:sz w:val="20"/>
                <w:szCs w:val="20"/>
              </w:rPr>
            </w:pPr>
            <w:r w:rsidRPr="006F316D">
              <w:rPr>
                <w:rFonts w:eastAsia="Times New Roman"/>
                <w:color w:val="000000"/>
                <w:sz w:val="20"/>
                <w:szCs w:val="20"/>
              </w:rPr>
              <w:t>0.006</w:t>
            </w:r>
          </w:p>
        </w:tc>
      </w:tr>
      <w:tr w:rsidR="006F316D" w:rsidRPr="006F316D" w14:paraId="0ADC35D6" w14:textId="77777777" w:rsidTr="006F316D">
        <w:trPr>
          <w:trHeight w:val="20"/>
        </w:trPr>
        <w:tc>
          <w:tcPr>
            <w:tcW w:w="1195" w:type="dxa"/>
            <w:vAlign w:val="center"/>
            <w:hideMark/>
          </w:tcPr>
          <w:p w14:paraId="71B03E0A" w14:textId="77777777" w:rsidR="006F316D" w:rsidRPr="006F316D" w:rsidRDefault="006F316D" w:rsidP="006F316D">
            <w:pPr>
              <w:spacing w:after="0" w:line="240" w:lineRule="auto"/>
              <w:jc w:val="right"/>
              <w:rPr>
                <w:rFonts w:eastAsia="Times New Roman"/>
                <w:color w:val="000000"/>
                <w:sz w:val="20"/>
                <w:szCs w:val="20"/>
              </w:rPr>
            </w:pPr>
          </w:p>
        </w:tc>
        <w:tc>
          <w:tcPr>
            <w:tcW w:w="1479" w:type="dxa"/>
            <w:vAlign w:val="center"/>
            <w:hideMark/>
          </w:tcPr>
          <w:p w14:paraId="1148F98D"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Moderate</w:t>
            </w:r>
          </w:p>
        </w:tc>
        <w:tc>
          <w:tcPr>
            <w:tcW w:w="1295" w:type="dxa"/>
            <w:vAlign w:val="center"/>
            <w:hideMark/>
          </w:tcPr>
          <w:p w14:paraId="379A49B3"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3 (14.3%)</w:t>
            </w:r>
          </w:p>
        </w:tc>
        <w:tc>
          <w:tcPr>
            <w:tcW w:w="1264" w:type="dxa"/>
            <w:vAlign w:val="center"/>
            <w:hideMark/>
          </w:tcPr>
          <w:p w14:paraId="350A29B3"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32 (42.1%)</w:t>
            </w:r>
          </w:p>
        </w:tc>
        <w:tc>
          <w:tcPr>
            <w:tcW w:w="1260" w:type="dxa"/>
            <w:vAlign w:val="center"/>
            <w:hideMark/>
          </w:tcPr>
          <w:p w14:paraId="61EE916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35 (36.1%)</w:t>
            </w:r>
          </w:p>
        </w:tc>
        <w:tc>
          <w:tcPr>
            <w:tcW w:w="813" w:type="dxa"/>
            <w:vAlign w:val="center"/>
            <w:hideMark/>
          </w:tcPr>
          <w:p w14:paraId="2FFBA3B9"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63C4AAE0"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1C36DE79" w14:textId="77777777" w:rsidTr="006F316D">
        <w:trPr>
          <w:trHeight w:val="20"/>
        </w:trPr>
        <w:tc>
          <w:tcPr>
            <w:tcW w:w="1195" w:type="dxa"/>
            <w:vAlign w:val="center"/>
            <w:hideMark/>
          </w:tcPr>
          <w:p w14:paraId="3D09F9C8"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479" w:type="dxa"/>
            <w:vAlign w:val="center"/>
            <w:hideMark/>
          </w:tcPr>
          <w:p w14:paraId="42C0397C"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Low</w:t>
            </w:r>
          </w:p>
        </w:tc>
        <w:tc>
          <w:tcPr>
            <w:tcW w:w="1295" w:type="dxa"/>
            <w:vAlign w:val="center"/>
            <w:hideMark/>
          </w:tcPr>
          <w:p w14:paraId="636A1CFE"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18 (85.7%)</w:t>
            </w:r>
          </w:p>
        </w:tc>
        <w:tc>
          <w:tcPr>
            <w:tcW w:w="1264" w:type="dxa"/>
            <w:vAlign w:val="center"/>
            <w:hideMark/>
          </w:tcPr>
          <w:p w14:paraId="78E71908"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40 (52.6%)</w:t>
            </w:r>
          </w:p>
        </w:tc>
        <w:tc>
          <w:tcPr>
            <w:tcW w:w="1260" w:type="dxa"/>
            <w:vAlign w:val="center"/>
            <w:hideMark/>
          </w:tcPr>
          <w:p w14:paraId="54B8432A" w14:textId="77777777" w:rsidR="006F316D" w:rsidRPr="006F316D" w:rsidRDefault="006F316D" w:rsidP="006F316D">
            <w:pPr>
              <w:spacing w:after="0" w:line="240" w:lineRule="auto"/>
              <w:rPr>
                <w:rFonts w:eastAsia="Times New Roman"/>
                <w:color w:val="000000"/>
                <w:sz w:val="20"/>
                <w:szCs w:val="20"/>
              </w:rPr>
            </w:pPr>
            <w:r w:rsidRPr="006F316D">
              <w:rPr>
                <w:rFonts w:eastAsia="Times New Roman"/>
                <w:color w:val="000000"/>
                <w:sz w:val="20"/>
                <w:szCs w:val="20"/>
              </w:rPr>
              <w:t>58 (59.8%)</w:t>
            </w:r>
          </w:p>
        </w:tc>
        <w:tc>
          <w:tcPr>
            <w:tcW w:w="813" w:type="dxa"/>
            <w:vAlign w:val="center"/>
            <w:hideMark/>
          </w:tcPr>
          <w:p w14:paraId="49CA40A8"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48" w:type="dxa"/>
            <w:vAlign w:val="center"/>
            <w:hideMark/>
          </w:tcPr>
          <w:p w14:paraId="6F1F3B67"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bl>
    <w:p w14:paraId="04A3DC32" w14:textId="77777777" w:rsidR="006F316D" w:rsidRDefault="006F316D">
      <w:pPr>
        <w:pBdr>
          <w:top w:val="nil"/>
          <w:left w:val="nil"/>
          <w:bottom w:val="nil"/>
          <w:right w:val="nil"/>
          <w:between w:val="nil"/>
        </w:pBdr>
        <w:shd w:val="clear" w:color="auto" w:fill="FFFFFF"/>
        <w:spacing w:after="0" w:line="240" w:lineRule="auto"/>
        <w:ind w:left="720"/>
        <w:jc w:val="both"/>
        <w:rPr>
          <w:rStyle w:val="Strong"/>
        </w:rPr>
      </w:pPr>
    </w:p>
    <w:p w14:paraId="328D117C" w14:textId="77777777" w:rsidR="006F316D" w:rsidRDefault="006F316D">
      <w:pPr>
        <w:pBdr>
          <w:top w:val="nil"/>
          <w:left w:val="nil"/>
          <w:bottom w:val="nil"/>
          <w:right w:val="nil"/>
          <w:between w:val="nil"/>
        </w:pBdr>
        <w:shd w:val="clear" w:color="auto" w:fill="FFFFFF"/>
        <w:spacing w:after="0" w:line="240" w:lineRule="auto"/>
        <w:ind w:left="720"/>
        <w:jc w:val="both"/>
        <w:rPr>
          <w:rStyle w:val="Strong"/>
        </w:rPr>
      </w:pPr>
    </w:p>
    <w:p w14:paraId="235D1ABC" w14:textId="77777777" w:rsidR="006F316D" w:rsidRDefault="006F316D">
      <w:pPr>
        <w:pBdr>
          <w:top w:val="nil"/>
          <w:left w:val="nil"/>
          <w:bottom w:val="nil"/>
          <w:right w:val="nil"/>
          <w:between w:val="nil"/>
        </w:pBdr>
        <w:shd w:val="clear" w:color="auto" w:fill="FFFFFF"/>
        <w:spacing w:after="0" w:line="240" w:lineRule="auto"/>
        <w:ind w:left="720"/>
        <w:jc w:val="both"/>
        <w:rPr>
          <w:rStyle w:val="Strong"/>
        </w:rPr>
      </w:pPr>
    </w:p>
    <w:p w14:paraId="75BE4D2B" w14:textId="77777777" w:rsidR="006F316D" w:rsidRDefault="006F316D">
      <w:pPr>
        <w:pBdr>
          <w:top w:val="nil"/>
          <w:left w:val="nil"/>
          <w:bottom w:val="nil"/>
          <w:right w:val="nil"/>
          <w:between w:val="nil"/>
        </w:pBdr>
        <w:shd w:val="clear" w:color="auto" w:fill="FFFFFF"/>
        <w:spacing w:after="0" w:line="240" w:lineRule="auto"/>
        <w:ind w:left="720"/>
        <w:jc w:val="both"/>
        <w:rPr>
          <w:rStyle w:val="Strong"/>
        </w:rPr>
      </w:pPr>
    </w:p>
    <w:p w14:paraId="434B1FEC" w14:textId="45D7755D" w:rsidR="00DA6E9C" w:rsidRDefault="005D3EF1">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r>
        <w:rPr>
          <w:rStyle w:val="Strong"/>
        </w:rPr>
        <w:t>Note.</w:t>
      </w:r>
      <w:r>
        <w:t xml:space="preserve"> Critical Area includes intensive care units (ICU, ICCU, Perinatal Critical Units), while Adult Inpatient Unit refers to the general adult inpatient wards. Percentages are calculated within each work unit.</w:t>
      </w:r>
    </w:p>
    <w:p w14:paraId="5B0D40A6" w14:textId="77777777" w:rsidR="005D3EF1" w:rsidRDefault="005D3EF1">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1AAD8537" w14:textId="77777777" w:rsidR="005D3EF1" w:rsidRDefault="005D3EF1">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002FD928"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66E72CBF" w14:textId="77777777" w:rsidR="006F316D" w:rsidRP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r w:rsidRPr="006F316D">
        <w:rPr>
          <w:rFonts w:ascii="Cambria" w:eastAsia="Cambria" w:hAnsi="Cambria" w:cs="Cambria"/>
          <w:color w:val="000000"/>
        </w:rPr>
        <w:t>The burnout assessment among nurses revealed patterns across three main dimensions: emotional exhaustion, depersonalization, and reduced personal accomplishment. Overall, emotional exhaustion was a prominent concern, particularly in high-intensity units, indicating that nurses often experience a sense of drained emotional energy due to their workload. This suggests that the demanding nature of nursing tasks, combined with the high responsibility of patient care, contributes significantly to occupational fatigue.</w:t>
      </w:r>
    </w:p>
    <w:p w14:paraId="4DAC78E6" w14:textId="77777777" w:rsidR="006F316D" w:rsidRP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p>
    <w:p w14:paraId="6CA6DD67" w14:textId="77777777" w:rsidR="006F316D" w:rsidRP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r w:rsidRPr="006F316D">
        <w:rPr>
          <w:rFonts w:ascii="Cambria" w:eastAsia="Cambria" w:hAnsi="Cambria" w:cs="Cambria"/>
          <w:color w:val="000000"/>
        </w:rPr>
        <w:t>Depersonalization tendencies were also observed, reflecting a professional coping mechanism where nurses distance themselves emotionally from patients. While this may serve as a protective strategy against emotional overload, it can negatively affect nurse-patient interactions and the overall quality of care if persistent.</w:t>
      </w:r>
    </w:p>
    <w:p w14:paraId="5888AE0E" w14:textId="77777777" w:rsidR="006F316D" w:rsidRP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p>
    <w:p w14:paraId="0E8A2FD2" w14:textId="77777777" w:rsidR="006F316D" w:rsidRP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r w:rsidRPr="006F316D">
        <w:rPr>
          <w:rFonts w:ascii="Cambria" w:eastAsia="Cambria" w:hAnsi="Cambria" w:cs="Cambria"/>
          <w:color w:val="000000"/>
        </w:rPr>
        <w:t>In terms of personal accomplishment, most nurses reported varying degrees of satisfaction with their professional efficacy and contributions to patient well-being. Although many maintain a sense of competence and capability in managing patient needs, a subset expressed challenges in feeling consistently energized or influential, suggesting opportunities for interventions that enhance professional growth and motivation.</w:t>
      </w:r>
    </w:p>
    <w:p w14:paraId="665951DF" w14:textId="77777777" w:rsidR="006F316D" w:rsidRP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rPr>
      </w:pPr>
    </w:p>
    <w:p w14:paraId="17D92017" w14:textId="0BA6B5E6" w:rsidR="006F316D" w:rsidRDefault="006F316D" w:rsidP="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r w:rsidRPr="006F316D">
        <w:rPr>
          <w:rFonts w:ascii="Cambria" w:eastAsia="Cambria" w:hAnsi="Cambria" w:cs="Cambria"/>
          <w:color w:val="000000"/>
        </w:rPr>
        <w:t>These findings highlight the importance of targeted organizational support, including workload management, psychosocial support programs, and interventions that foster engagement and resilience. Tailored strategies can help mitigate the risk of burnout, promote emotional well-being, and support nurses in maintaining both professional effectiveness and personal fulfillment.</w:t>
      </w:r>
    </w:p>
    <w:p w14:paraId="3F3FE468"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1FBB620E"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01B1AF13"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51B4A41F"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3A3C27D3"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4D31608F" w14:textId="0F2DD67B"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r>
        <w:t>Table 2. Frequency Distribution of Burnout Questionnaire Responses in Critical Care (n=21) and Adult Inpatient Units (n=76)</w:t>
      </w:r>
    </w:p>
    <w:p w14:paraId="3EDB4A63"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889"/>
        <w:gridCol w:w="6"/>
        <w:gridCol w:w="908"/>
        <w:gridCol w:w="6"/>
        <w:gridCol w:w="1230"/>
        <w:gridCol w:w="6"/>
        <w:gridCol w:w="908"/>
        <w:gridCol w:w="6"/>
        <w:gridCol w:w="899"/>
        <w:gridCol w:w="6"/>
      </w:tblGrid>
      <w:tr w:rsidR="006F316D" w:rsidRPr="006F316D" w14:paraId="134E8054" w14:textId="77777777" w:rsidTr="006F316D">
        <w:trPr>
          <w:trHeight w:val="20"/>
        </w:trPr>
        <w:tc>
          <w:tcPr>
            <w:tcW w:w="851" w:type="dxa"/>
            <w:vAlign w:val="center"/>
            <w:hideMark/>
          </w:tcPr>
          <w:p w14:paraId="37433B0C" w14:textId="77777777" w:rsidR="006F316D" w:rsidRPr="006F316D" w:rsidRDefault="006F316D" w:rsidP="006F316D">
            <w:pPr>
              <w:spacing w:after="0" w:line="240" w:lineRule="auto"/>
              <w:jc w:val="center"/>
              <w:rPr>
                <w:rFonts w:eastAsia="Times New Roman"/>
                <w:b/>
                <w:bCs/>
                <w:color w:val="000000"/>
              </w:rPr>
            </w:pPr>
            <w:r w:rsidRPr="006F316D">
              <w:rPr>
                <w:rFonts w:eastAsia="Times New Roman"/>
                <w:b/>
                <w:bCs/>
                <w:color w:val="000000"/>
              </w:rPr>
              <w:t>No</w:t>
            </w:r>
          </w:p>
        </w:tc>
        <w:tc>
          <w:tcPr>
            <w:tcW w:w="3895" w:type="dxa"/>
            <w:gridSpan w:val="2"/>
            <w:vAlign w:val="center"/>
            <w:hideMark/>
          </w:tcPr>
          <w:p w14:paraId="293D19EC" w14:textId="77777777" w:rsidR="006F316D" w:rsidRPr="006F316D" w:rsidRDefault="006F316D" w:rsidP="006F316D">
            <w:pPr>
              <w:spacing w:after="0" w:line="240" w:lineRule="auto"/>
              <w:jc w:val="center"/>
              <w:rPr>
                <w:rFonts w:eastAsia="Times New Roman"/>
                <w:b/>
                <w:bCs/>
                <w:color w:val="000000"/>
              </w:rPr>
            </w:pPr>
            <w:r w:rsidRPr="006F316D">
              <w:rPr>
                <w:rFonts w:eastAsia="Times New Roman"/>
                <w:b/>
                <w:bCs/>
                <w:color w:val="000000"/>
              </w:rPr>
              <w:t>Question</w:t>
            </w:r>
          </w:p>
        </w:tc>
        <w:tc>
          <w:tcPr>
            <w:tcW w:w="914" w:type="dxa"/>
            <w:gridSpan w:val="2"/>
            <w:vAlign w:val="center"/>
            <w:hideMark/>
          </w:tcPr>
          <w:p w14:paraId="28182F0E" w14:textId="77777777" w:rsidR="006F316D" w:rsidRPr="006F316D" w:rsidRDefault="006F316D" w:rsidP="006F316D">
            <w:pPr>
              <w:spacing w:after="0" w:line="240" w:lineRule="auto"/>
              <w:jc w:val="center"/>
              <w:rPr>
                <w:rFonts w:eastAsia="Times New Roman"/>
                <w:b/>
                <w:bCs/>
                <w:color w:val="000000"/>
              </w:rPr>
            </w:pPr>
            <w:r w:rsidRPr="006F316D">
              <w:rPr>
                <w:rFonts w:eastAsia="Times New Roman"/>
                <w:b/>
                <w:bCs/>
                <w:color w:val="000000"/>
              </w:rPr>
              <w:t>Never n (%)</w:t>
            </w:r>
          </w:p>
        </w:tc>
        <w:tc>
          <w:tcPr>
            <w:tcW w:w="1236" w:type="dxa"/>
            <w:gridSpan w:val="2"/>
            <w:vAlign w:val="center"/>
            <w:hideMark/>
          </w:tcPr>
          <w:p w14:paraId="42D1E807" w14:textId="77777777" w:rsidR="006F316D" w:rsidRPr="006F316D" w:rsidRDefault="006F316D" w:rsidP="006F316D">
            <w:pPr>
              <w:spacing w:after="0" w:line="240" w:lineRule="auto"/>
              <w:jc w:val="center"/>
              <w:rPr>
                <w:rFonts w:eastAsia="Times New Roman"/>
                <w:b/>
                <w:bCs/>
                <w:color w:val="000000"/>
              </w:rPr>
            </w:pPr>
            <w:r w:rsidRPr="006F316D">
              <w:rPr>
                <w:rFonts w:eastAsia="Times New Roman"/>
                <w:b/>
                <w:bCs/>
                <w:color w:val="000000"/>
              </w:rPr>
              <w:t>Sometimes n (%)</w:t>
            </w:r>
          </w:p>
        </w:tc>
        <w:tc>
          <w:tcPr>
            <w:tcW w:w="914" w:type="dxa"/>
            <w:gridSpan w:val="2"/>
            <w:vAlign w:val="center"/>
            <w:hideMark/>
          </w:tcPr>
          <w:p w14:paraId="09BF3A60" w14:textId="77777777" w:rsidR="006F316D" w:rsidRPr="006F316D" w:rsidRDefault="006F316D" w:rsidP="006F316D">
            <w:pPr>
              <w:spacing w:after="0" w:line="240" w:lineRule="auto"/>
              <w:jc w:val="center"/>
              <w:rPr>
                <w:rFonts w:eastAsia="Times New Roman"/>
                <w:b/>
                <w:bCs/>
                <w:color w:val="000000"/>
              </w:rPr>
            </w:pPr>
            <w:r w:rsidRPr="006F316D">
              <w:rPr>
                <w:rFonts w:eastAsia="Times New Roman"/>
                <w:b/>
                <w:bCs/>
                <w:color w:val="000000"/>
              </w:rPr>
              <w:t>Often n (%)</w:t>
            </w:r>
          </w:p>
        </w:tc>
        <w:tc>
          <w:tcPr>
            <w:tcW w:w="905" w:type="dxa"/>
            <w:gridSpan w:val="2"/>
            <w:vAlign w:val="center"/>
            <w:hideMark/>
          </w:tcPr>
          <w:p w14:paraId="082F2296" w14:textId="77777777" w:rsidR="006F316D" w:rsidRPr="006F316D" w:rsidRDefault="006F316D" w:rsidP="006F316D">
            <w:pPr>
              <w:spacing w:after="0" w:line="240" w:lineRule="auto"/>
              <w:jc w:val="center"/>
              <w:rPr>
                <w:rFonts w:eastAsia="Times New Roman"/>
                <w:b/>
                <w:bCs/>
                <w:color w:val="000000"/>
              </w:rPr>
            </w:pPr>
            <w:r w:rsidRPr="006F316D">
              <w:rPr>
                <w:rFonts w:eastAsia="Times New Roman"/>
                <w:b/>
                <w:bCs/>
                <w:color w:val="000000"/>
              </w:rPr>
              <w:t>Always n (%)</w:t>
            </w:r>
          </w:p>
        </w:tc>
      </w:tr>
      <w:tr w:rsidR="006F316D" w:rsidRPr="006F316D" w14:paraId="655E607B" w14:textId="77777777" w:rsidTr="006F316D">
        <w:trPr>
          <w:gridAfter w:val="1"/>
          <w:wAfter w:w="6" w:type="dxa"/>
          <w:trHeight w:val="20"/>
        </w:trPr>
        <w:tc>
          <w:tcPr>
            <w:tcW w:w="4740" w:type="dxa"/>
            <w:gridSpan w:val="2"/>
            <w:vAlign w:val="center"/>
            <w:hideMark/>
          </w:tcPr>
          <w:p w14:paraId="52D935BE" w14:textId="3ED241B8" w:rsidR="006F316D" w:rsidRPr="006F316D" w:rsidRDefault="006F316D" w:rsidP="006F316D">
            <w:pPr>
              <w:spacing w:after="0" w:line="240" w:lineRule="auto"/>
              <w:rPr>
                <w:rFonts w:eastAsia="Times New Roman"/>
                <w:b/>
                <w:bCs/>
                <w:color w:val="000000"/>
              </w:rPr>
            </w:pPr>
            <w:r w:rsidRPr="006F316D">
              <w:rPr>
                <w:rFonts w:eastAsia="Times New Roman"/>
                <w:b/>
                <w:bCs/>
                <w:color w:val="000000"/>
              </w:rPr>
              <w:t>Emotional Exhaustion</w:t>
            </w:r>
          </w:p>
        </w:tc>
        <w:tc>
          <w:tcPr>
            <w:tcW w:w="914" w:type="dxa"/>
            <w:gridSpan w:val="2"/>
            <w:vAlign w:val="center"/>
            <w:hideMark/>
          </w:tcPr>
          <w:p w14:paraId="71EFAEC2"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236" w:type="dxa"/>
            <w:gridSpan w:val="2"/>
            <w:vAlign w:val="center"/>
            <w:hideMark/>
          </w:tcPr>
          <w:p w14:paraId="13104888"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14" w:type="dxa"/>
            <w:gridSpan w:val="2"/>
            <w:vAlign w:val="center"/>
            <w:hideMark/>
          </w:tcPr>
          <w:p w14:paraId="72BB4D37"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05" w:type="dxa"/>
            <w:gridSpan w:val="2"/>
            <w:vAlign w:val="center"/>
            <w:hideMark/>
          </w:tcPr>
          <w:p w14:paraId="168E1F95"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3EF60CBB" w14:textId="77777777" w:rsidTr="006F316D">
        <w:trPr>
          <w:trHeight w:val="20"/>
        </w:trPr>
        <w:tc>
          <w:tcPr>
            <w:tcW w:w="851" w:type="dxa"/>
            <w:vAlign w:val="center"/>
            <w:hideMark/>
          </w:tcPr>
          <w:p w14:paraId="70A84837"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w:t>
            </w:r>
          </w:p>
        </w:tc>
        <w:tc>
          <w:tcPr>
            <w:tcW w:w="3895" w:type="dxa"/>
            <w:gridSpan w:val="2"/>
            <w:vAlign w:val="center"/>
            <w:hideMark/>
          </w:tcPr>
          <w:p w14:paraId="02E757A7"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my emotions are drained because of my job</w:t>
            </w:r>
          </w:p>
        </w:tc>
        <w:tc>
          <w:tcPr>
            <w:tcW w:w="914" w:type="dxa"/>
            <w:gridSpan w:val="2"/>
            <w:vAlign w:val="center"/>
            <w:hideMark/>
          </w:tcPr>
          <w:p w14:paraId="001A43EA"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18 (18.6%)</w:t>
            </w:r>
          </w:p>
        </w:tc>
        <w:tc>
          <w:tcPr>
            <w:tcW w:w="1236" w:type="dxa"/>
            <w:gridSpan w:val="2"/>
            <w:vAlign w:val="center"/>
            <w:hideMark/>
          </w:tcPr>
          <w:p w14:paraId="0AAC1BD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69 (71.1%)</w:t>
            </w:r>
          </w:p>
        </w:tc>
        <w:tc>
          <w:tcPr>
            <w:tcW w:w="914" w:type="dxa"/>
            <w:gridSpan w:val="2"/>
            <w:vAlign w:val="center"/>
            <w:hideMark/>
          </w:tcPr>
          <w:p w14:paraId="07B5AC1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10 (10.3%)</w:t>
            </w:r>
          </w:p>
        </w:tc>
        <w:tc>
          <w:tcPr>
            <w:tcW w:w="905" w:type="dxa"/>
            <w:gridSpan w:val="2"/>
            <w:vAlign w:val="center"/>
            <w:hideMark/>
          </w:tcPr>
          <w:p w14:paraId="5F97005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0 (0%)</w:t>
            </w:r>
          </w:p>
        </w:tc>
      </w:tr>
      <w:tr w:rsidR="006F316D" w:rsidRPr="006F316D" w14:paraId="3CA1871F" w14:textId="77777777" w:rsidTr="006F316D">
        <w:trPr>
          <w:trHeight w:val="20"/>
        </w:trPr>
        <w:tc>
          <w:tcPr>
            <w:tcW w:w="851" w:type="dxa"/>
            <w:vAlign w:val="center"/>
            <w:hideMark/>
          </w:tcPr>
          <w:p w14:paraId="005348F7"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2</w:t>
            </w:r>
          </w:p>
        </w:tc>
        <w:tc>
          <w:tcPr>
            <w:tcW w:w="3895" w:type="dxa"/>
            <w:gridSpan w:val="2"/>
            <w:vAlign w:val="center"/>
            <w:hideMark/>
          </w:tcPr>
          <w:p w14:paraId="1622D5D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very tired at the end of my shift</w:t>
            </w:r>
          </w:p>
        </w:tc>
        <w:tc>
          <w:tcPr>
            <w:tcW w:w="914" w:type="dxa"/>
            <w:gridSpan w:val="2"/>
            <w:vAlign w:val="center"/>
            <w:hideMark/>
          </w:tcPr>
          <w:p w14:paraId="5172761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 (6.2%)</w:t>
            </w:r>
          </w:p>
        </w:tc>
        <w:tc>
          <w:tcPr>
            <w:tcW w:w="1236" w:type="dxa"/>
            <w:gridSpan w:val="2"/>
            <w:vAlign w:val="center"/>
            <w:hideMark/>
          </w:tcPr>
          <w:p w14:paraId="2F29488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68 (70.1%)</w:t>
            </w:r>
          </w:p>
        </w:tc>
        <w:tc>
          <w:tcPr>
            <w:tcW w:w="914" w:type="dxa"/>
            <w:gridSpan w:val="2"/>
            <w:vAlign w:val="center"/>
            <w:hideMark/>
          </w:tcPr>
          <w:p w14:paraId="5DD0058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20 (20.6%)</w:t>
            </w:r>
          </w:p>
        </w:tc>
        <w:tc>
          <w:tcPr>
            <w:tcW w:w="905" w:type="dxa"/>
            <w:gridSpan w:val="2"/>
            <w:vAlign w:val="center"/>
            <w:hideMark/>
          </w:tcPr>
          <w:p w14:paraId="10703B59"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r>
      <w:tr w:rsidR="006F316D" w:rsidRPr="006F316D" w14:paraId="36ABDB92" w14:textId="77777777" w:rsidTr="006F316D">
        <w:trPr>
          <w:trHeight w:val="20"/>
        </w:trPr>
        <w:tc>
          <w:tcPr>
            <w:tcW w:w="851" w:type="dxa"/>
            <w:vAlign w:val="center"/>
            <w:hideMark/>
          </w:tcPr>
          <w:p w14:paraId="1BC9762C"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lastRenderedPageBreak/>
              <w:t>3</w:t>
            </w:r>
          </w:p>
        </w:tc>
        <w:tc>
          <w:tcPr>
            <w:tcW w:w="3895" w:type="dxa"/>
            <w:gridSpan w:val="2"/>
            <w:vAlign w:val="center"/>
            <w:hideMark/>
          </w:tcPr>
          <w:p w14:paraId="1AC73B8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tired when waking up because I imagine how heavy the workload will be</w:t>
            </w:r>
          </w:p>
        </w:tc>
        <w:tc>
          <w:tcPr>
            <w:tcW w:w="914" w:type="dxa"/>
            <w:gridSpan w:val="2"/>
            <w:vAlign w:val="center"/>
            <w:hideMark/>
          </w:tcPr>
          <w:p w14:paraId="6843265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31 (32.0%)</w:t>
            </w:r>
          </w:p>
        </w:tc>
        <w:tc>
          <w:tcPr>
            <w:tcW w:w="1236" w:type="dxa"/>
            <w:gridSpan w:val="2"/>
            <w:vAlign w:val="center"/>
            <w:hideMark/>
          </w:tcPr>
          <w:p w14:paraId="7323E82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50 (51.5%)</w:t>
            </w:r>
          </w:p>
        </w:tc>
        <w:tc>
          <w:tcPr>
            <w:tcW w:w="914" w:type="dxa"/>
            <w:gridSpan w:val="2"/>
            <w:vAlign w:val="center"/>
            <w:hideMark/>
          </w:tcPr>
          <w:p w14:paraId="438EBBC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16 (16.5%)</w:t>
            </w:r>
          </w:p>
        </w:tc>
        <w:tc>
          <w:tcPr>
            <w:tcW w:w="905" w:type="dxa"/>
            <w:gridSpan w:val="2"/>
            <w:vAlign w:val="center"/>
            <w:hideMark/>
          </w:tcPr>
          <w:p w14:paraId="55C66209"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0 (0%)</w:t>
            </w:r>
          </w:p>
        </w:tc>
      </w:tr>
      <w:tr w:rsidR="006F316D" w:rsidRPr="006F316D" w14:paraId="64F38561" w14:textId="77777777" w:rsidTr="006F316D">
        <w:trPr>
          <w:trHeight w:val="20"/>
        </w:trPr>
        <w:tc>
          <w:tcPr>
            <w:tcW w:w="851" w:type="dxa"/>
            <w:vAlign w:val="center"/>
            <w:hideMark/>
          </w:tcPr>
          <w:p w14:paraId="7A1343E1"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4</w:t>
            </w:r>
          </w:p>
        </w:tc>
        <w:tc>
          <w:tcPr>
            <w:tcW w:w="3895" w:type="dxa"/>
            <w:gridSpan w:val="2"/>
            <w:vAlign w:val="center"/>
            <w:hideMark/>
          </w:tcPr>
          <w:p w14:paraId="502018C1"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that people working in the hospital trouble me</w:t>
            </w:r>
          </w:p>
        </w:tc>
        <w:tc>
          <w:tcPr>
            <w:tcW w:w="914" w:type="dxa"/>
            <w:gridSpan w:val="2"/>
            <w:vAlign w:val="center"/>
            <w:hideMark/>
          </w:tcPr>
          <w:p w14:paraId="7A62946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55 (56.7%)</w:t>
            </w:r>
          </w:p>
        </w:tc>
        <w:tc>
          <w:tcPr>
            <w:tcW w:w="1236" w:type="dxa"/>
            <w:gridSpan w:val="2"/>
            <w:vAlign w:val="center"/>
            <w:hideMark/>
          </w:tcPr>
          <w:p w14:paraId="32E52484"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36 (37.1%)</w:t>
            </w:r>
          </w:p>
        </w:tc>
        <w:tc>
          <w:tcPr>
            <w:tcW w:w="914" w:type="dxa"/>
            <w:gridSpan w:val="2"/>
            <w:vAlign w:val="center"/>
            <w:hideMark/>
          </w:tcPr>
          <w:p w14:paraId="1BB6ACC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 (5.2%)</w:t>
            </w:r>
          </w:p>
        </w:tc>
        <w:tc>
          <w:tcPr>
            <w:tcW w:w="905" w:type="dxa"/>
            <w:gridSpan w:val="2"/>
            <w:vAlign w:val="center"/>
            <w:hideMark/>
          </w:tcPr>
          <w:p w14:paraId="4A100DF0"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r w:rsidR="006F316D" w:rsidRPr="006F316D" w14:paraId="44D79F1E" w14:textId="77777777" w:rsidTr="006F316D">
        <w:trPr>
          <w:trHeight w:val="20"/>
        </w:trPr>
        <w:tc>
          <w:tcPr>
            <w:tcW w:w="851" w:type="dxa"/>
            <w:vAlign w:val="center"/>
            <w:hideMark/>
          </w:tcPr>
          <w:p w14:paraId="6D50C83B"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5</w:t>
            </w:r>
          </w:p>
        </w:tc>
        <w:tc>
          <w:tcPr>
            <w:tcW w:w="3895" w:type="dxa"/>
            <w:gridSpan w:val="2"/>
            <w:vAlign w:val="center"/>
            <w:hideMark/>
          </w:tcPr>
          <w:p w14:paraId="4F1E722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frustrated with my job as a nurse</w:t>
            </w:r>
          </w:p>
        </w:tc>
        <w:tc>
          <w:tcPr>
            <w:tcW w:w="914" w:type="dxa"/>
            <w:gridSpan w:val="2"/>
            <w:vAlign w:val="center"/>
            <w:hideMark/>
          </w:tcPr>
          <w:p w14:paraId="5E0DF93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57 (58.8%)</w:t>
            </w:r>
          </w:p>
        </w:tc>
        <w:tc>
          <w:tcPr>
            <w:tcW w:w="1236" w:type="dxa"/>
            <w:gridSpan w:val="2"/>
            <w:vAlign w:val="center"/>
            <w:hideMark/>
          </w:tcPr>
          <w:p w14:paraId="591F866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34 (35.1%)</w:t>
            </w:r>
          </w:p>
        </w:tc>
        <w:tc>
          <w:tcPr>
            <w:tcW w:w="914" w:type="dxa"/>
            <w:gridSpan w:val="2"/>
            <w:vAlign w:val="center"/>
            <w:hideMark/>
          </w:tcPr>
          <w:p w14:paraId="2974172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c>
          <w:tcPr>
            <w:tcW w:w="905" w:type="dxa"/>
            <w:gridSpan w:val="2"/>
            <w:vAlign w:val="center"/>
            <w:hideMark/>
          </w:tcPr>
          <w:p w14:paraId="65A9F98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r>
      <w:tr w:rsidR="006F316D" w:rsidRPr="006F316D" w14:paraId="35A5826E" w14:textId="77777777" w:rsidTr="006F316D">
        <w:trPr>
          <w:trHeight w:val="20"/>
        </w:trPr>
        <w:tc>
          <w:tcPr>
            <w:tcW w:w="851" w:type="dxa"/>
            <w:vAlign w:val="center"/>
            <w:hideMark/>
          </w:tcPr>
          <w:p w14:paraId="1F001645"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6</w:t>
            </w:r>
          </w:p>
        </w:tc>
        <w:tc>
          <w:tcPr>
            <w:tcW w:w="3895" w:type="dxa"/>
            <w:gridSpan w:val="2"/>
            <w:vAlign w:val="center"/>
            <w:hideMark/>
          </w:tcPr>
          <w:p w14:paraId="61631CC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tired of my job</w:t>
            </w:r>
          </w:p>
        </w:tc>
        <w:tc>
          <w:tcPr>
            <w:tcW w:w="914" w:type="dxa"/>
            <w:gridSpan w:val="2"/>
            <w:vAlign w:val="center"/>
            <w:hideMark/>
          </w:tcPr>
          <w:p w14:paraId="3253AB40"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33 (34.0%)</w:t>
            </w:r>
          </w:p>
        </w:tc>
        <w:tc>
          <w:tcPr>
            <w:tcW w:w="1236" w:type="dxa"/>
            <w:gridSpan w:val="2"/>
            <w:vAlign w:val="center"/>
            <w:hideMark/>
          </w:tcPr>
          <w:p w14:paraId="4EDD8F7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54 (55.7%)</w:t>
            </w:r>
          </w:p>
        </w:tc>
        <w:tc>
          <w:tcPr>
            <w:tcW w:w="914" w:type="dxa"/>
            <w:gridSpan w:val="2"/>
            <w:vAlign w:val="center"/>
            <w:hideMark/>
          </w:tcPr>
          <w:p w14:paraId="24D69510"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7 (7.2%)</w:t>
            </w:r>
          </w:p>
        </w:tc>
        <w:tc>
          <w:tcPr>
            <w:tcW w:w="905" w:type="dxa"/>
            <w:gridSpan w:val="2"/>
            <w:vAlign w:val="center"/>
            <w:hideMark/>
          </w:tcPr>
          <w:p w14:paraId="57215AC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r>
      <w:tr w:rsidR="006F316D" w:rsidRPr="006F316D" w14:paraId="4A567138" w14:textId="77777777" w:rsidTr="006F316D">
        <w:trPr>
          <w:trHeight w:val="20"/>
        </w:trPr>
        <w:tc>
          <w:tcPr>
            <w:tcW w:w="851" w:type="dxa"/>
            <w:vAlign w:val="center"/>
            <w:hideMark/>
          </w:tcPr>
          <w:p w14:paraId="29897786"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7</w:t>
            </w:r>
          </w:p>
        </w:tc>
        <w:tc>
          <w:tcPr>
            <w:tcW w:w="3895" w:type="dxa"/>
            <w:gridSpan w:val="2"/>
            <w:vAlign w:val="center"/>
            <w:hideMark/>
          </w:tcPr>
          <w:p w14:paraId="19BB270C"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people working in the hospital put too much pressure on me</w:t>
            </w:r>
          </w:p>
        </w:tc>
        <w:tc>
          <w:tcPr>
            <w:tcW w:w="914" w:type="dxa"/>
            <w:gridSpan w:val="2"/>
            <w:vAlign w:val="center"/>
            <w:hideMark/>
          </w:tcPr>
          <w:p w14:paraId="3BD5C94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47 (48.5%)</w:t>
            </w:r>
          </w:p>
        </w:tc>
        <w:tc>
          <w:tcPr>
            <w:tcW w:w="1236" w:type="dxa"/>
            <w:gridSpan w:val="2"/>
            <w:vAlign w:val="center"/>
            <w:hideMark/>
          </w:tcPr>
          <w:p w14:paraId="1396B0E9"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42 (43.3%)</w:t>
            </w:r>
          </w:p>
        </w:tc>
        <w:tc>
          <w:tcPr>
            <w:tcW w:w="914" w:type="dxa"/>
            <w:gridSpan w:val="2"/>
            <w:vAlign w:val="center"/>
            <w:hideMark/>
          </w:tcPr>
          <w:p w14:paraId="170D9C8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 (6.2%)</w:t>
            </w:r>
          </w:p>
        </w:tc>
        <w:tc>
          <w:tcPr>
            <w:tcW w:w="905" w:type="dxa"/>
            <w:gridSpan w:val="2"/>
            <w:vAlign w:val="center"/>
            <w:hideMark/>
          </w:tcPr>
          <w:p w14:paraId="0039F41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 (2.1%)</w:t>
            </w:r>
          </w:p>
        </w:tc>
      </w:tr>
      <w:tr w:rsidR="006F316D" w:rsidRPr="006F316D" w14:paraId="2A703627" w14:textId="77777777" w:rsidTr="006F316D">
        <w:trPr>
          <w:trHeight w:val="20"/>
        </w:trPr>
        <w:tc>
          <w:tcPr>
            <w:tcW w:w="851" w:type="dxa"/>
            <w:vAlign w:val="center"/>
            <w:hideMark/>
          </w:tcPr>
          <w:p w14:paraId="71426123"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8</w:t>
            </w:r>
          </w:p>
        </w:tc>
        <w:tc>
          <w:tcPr>
            <w:tcW w:w="3895" w:type="dxa"/>
            <w:gridSpan w:val="2"/>
            <w:vAlign w:val="center"/>
            <w:hideMark/>
          </w:tcPr>
          <w:p w14:paraId="1A95643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I have been working too hard as a nurse</w:t>
            </w:r>
          </w:p>
        </w:tc>
        <w:tc>
          <w:tcPr>
            <w:tcW w:w="914" w:type="dxa"/>
            <w:gridSpan w:val="2"/>
            <w:vAlign w:val="center"/>
            <w:hideMark/>
          </w:tcPr>
          <w:p w14:paraId="703360F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28 (28.9%)</w:t>
            </w:r>
          </w:p>
        </w:tc>
        <w:tc>
          <w:tcPr>
            <w:tcW w:w="1236" w:type="dxa"/>
            <w:gridSpan w:val="2"/>
            <w:vAlign w:val="center"/>
            <w:hideMark/>
          </w:tcPr>
          <w:p w14:paraId="7E1C81C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56 (57.7%)</w:t>
            </w:r>
          </w:p>
        </w:tc>
        <w:tc>
          <w:tcPr>
            <w:tcW w:w="914" w:type="dxa"/>
            <w:gridSpan w:val="2"/>
            <w:vAlign w:val="center"/>
            <w:hideMark/>
          </w:tcPr>
          <w:p w14:paraId="26ACA92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10 (10.3%)</w:t>
            </w:r>
          </w:p>
        </w:tc>
        <w:tc>
          <w:tcPr>
            <w:tcW w:w="905" w:type="dxa"/>
            <w:gridSpan w:val="2"/>
            <w:vAlign w:val="center"/>
            <w:hideMark/>
          </w:tcPr>
          <w:p w14:paraId="48E23DF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r>
      <w:tr w:rsidR="006F316D" w:rsidRPr="006F316D" w14:paraId="4209B38E" w14:textId="77777777" w:rsidTr="006F316D">
        <w:trPr>
          <w:trHeight w:val="20"/>
        </w:trPr>
        <w:tc>
          <w:tcPr>
            <w:tcW w:w="851" w:type="dxa"/>
            <w:vAlign w:val="center"/>
            <w:hideMark/>
          </w:tcPr>
          <w:p w14:paraId="2DDA2E97"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9</w:t>
            </w:r>
          </w:p>
        </w:tc>
        <w:tc>
          <w:tcPr>
            <w:tcW w:w="3895" w:type="dxa"/>
            <w:gridSpan w:val="2"/>
            <w:vAlign w:val="center"/>
            <w:hideMark/>
          </w:tcPr>
          <w:p w14:paraId="263A2814"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I am at the end of my rope because my workload is extremely heavy</w:t>
            </w:r>
          </w:p>
        </w:tc>
        <w:tc>
          <w:tcPr>
            <w:tcW w:w="914" w:type="dxa"/>
            <w:gridSpan w:val="2"/>
            <w:vAlign w:val="center"/>
            <w:hideMark/>
          </w:tcPr>
          <w:p w14:paraId="20205D3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59 (60.8%)</w:t>
            </w:r>
          </w:p>
        </w:tc>
        <w:tc>
          <w:tcPr>
            <w:tcW w:w="1236" w:type="dxa"/>
            <w:gridSpan w:val="2"/>
            <w:vAlign w:val="center"/>
            <w:hideMark/>
          </w:tcPr>
          <w:p w14:paraId="14A4A13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32 (33.0%)</w:t>
            </w:r>
          </w:p>
        </w:tc>
        <w:tc>
          <w:tcPr>
            <w:tcW w:w="914" w:type="dxa"/>
            <w:gridSpan w:val="2"/>
            <w:vAlign w:val="center"/>
            <w:hideMark/>
          </w:tcPr>
          <w:p w14:paraId="0AC937C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 (6.2%)</w:t>
            </w:r>
          </w:p>
        </w:tc>
        <w:tc>
          <w:tcPr>
            <w:tcW w:w="905" w:type="dxa"/>
            <w:gridSpan w:val="2"/>
            <w:vAlign w:val="center"/>
            <w:hideMark/>
          </w:tcPr>
          <w:p w14:paraId="646CEE9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0 (0%)</w:t>
            </w:r>
          </w:p>
        </w:tc>
      </w:tr>
      <w:tr w:rsidR="006F316D" w:rsidRPr="006F316D" w14:paraId="6F10A8C1" w14:textId="77777777" w:rsidTr="006F316D">
        <w:trPr>
          <w:gridAfter w:val="1"/>
          <w:wAfter w:w="6" w:type="dxa"/>
          <w:trHeight w:val="20"/>
        </w:trPr>
        <w:tc>
          <w:tcPr>
            <w:tcW w:w="4740" w:type="dxa"/>
            <w:gridSpan w:val="2"/>
            <w:vAlign w:val="center"/>
            <w:hideMark/>
          </w:tcPr>
          <w:p w14:paraId="14B26BDA" w14:textId="428906D1" w:rsidR="006F316D" w:rsidRPr="006F316D" w:rsidRDefault="006F316D" w:rsidP="006F316D">
            <w:pPr>
              <w:spacing w:after="0" w:line="240" w:lineRule="auto"/>
              <w:rPr>
                <w:rFonts w:eastAsia="Times New Roman"/>
                <w:b/>
                <w:bCs/>
                <w:color w:val="000000"/>
              </w:rPr>
            </w:pPr>
            <w:r w:rsidRPr="006F316D">
              <w:rPr>
                <w:rFonts w:eastAsia="Times New Roman"/>
                <w:b/>
                <w:bCs/>
                <w:color w:val="000000"/>
              </w:rPr>
              <w:t>Depersonalization</w:t>
            </w:r>
          </w:p>
        </w:tc>
        <w:tc>
          <w:tcPr>
            <w:tcW w:w="914" w:type="dxa"/>
            <w:gridSpan w:val="2"/>
            <w:vAlign w:val="center"/>
            <w:hideMark/>
          </w:tcPr>
          <w:p w14:paraId="1BE0599F"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236" w:type="dxa"/>
            <w:gridSpan w:val="2"/>
            <w:vAlign w:val="center"/>
            <w:hideMark/>
          </w:tcPr>
          <w:p w14:paraId="08DAF0EC"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14" w:type="dxa"/>
            <w:gridSpan w:val="2"/>
            <w:vAlign w:val="center"/>
            <w:hideMark/>
          </w:tcPr>
          <w:p w14:paraId="52593E23"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05" w:type="dxa"/>
            <w:gridSpan w:val="2"/>
            <w:vAlign w:val="center"/>
            <w:hideMark/>
          </w:tcPr>
          <w:p w14:paraId="44B1AB97"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2F1096D4" w14:textId="77777777" w:rsidTr="006F316D">
        <w:trPr>
          <w:trHeight w:val="20"/>
        </w:trPr>
        <w:tc>
          <w:tcPr>
            <w:tcW w:w="851" w:type="dxa"/>
            <w:vAlign w:val="center"/>
            <w:hideMark/>
          </w:tcPr>
          <w:p w14:paraId="6D26D957"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10</w:t>
            </w:r>
          </w:p>
        </w:tc>
        <w:tc>
          <w:tcPr>
            <w:tcW w:w="3895" w:type="dxa"/>
            <w:gridSpan w:val="2"/>
            <w:vAlign w:val="center"/>
            <w:hideMark/>
          </w:tcPr>
          <w:p w14:paraId="066CC7BC"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treat patients as objects who do not need to be understood personally</w:t>
            </w:r>
          </w:p>
        </w:tc>
        <w:tc>
          <w:tcPr>
            <w:tcW w:w="914" w:type="dxa"/>
            <w:gridSpan w:val="2"/>
            <w:vAlign w:val="center"/>
            <w:hideMark/>
          </w:tcPr>
          <w:p w14:paraId="163724C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73 (75.3%)</w:t>
            </w:r>
          </w:p>
        </w:tc>
        <w:tc>
          <w:tcPr>
            <w:tcW w:w="1236" w:type="dxa"/>
            <w:gridSpan w:val="2"/>
            <w:vAlign w:val="center"/>
            <w:hideMark/>
          </w:tcPr>
          <w:p w14:paraId="5C8AC9F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16 (16.5%)</w:t>
            </w:r>
          </w:p>
        </w:tc>
        <w:tc>
          <w:tcPr>
            <w:tcW w:w="914" w:type="dxa"/>
            <w:gridSpan w:val="2"/>
            <w:vAlign w:val="center"/>
            <w:hideMark/>
          </w:tcPr>
          <w:p w14:paraId="5372391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7 (7.2%)</w:t>
            </w:r>
          </w:p>
        </w:tc>
        <w:tc>
          <w:tcPr>
            <w:tcW w:w="905" w:type="dxa"/>
            <w:gridSpan w:val="2"/>
            <w:vAlign w:val="center"/>
            <w:hideMark/>
          </w:tcPr>
          <w:p w14:paraId="6004B13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r w:rsidR="006F316D" w:rsidRPr="006F316D" w14:paraId="7762EA95" w14:textId="77777777" w:rsidTr="006F316D">
        <w:trPr>
          <w:trHeight w:val="20"/>
        </w:trPr>
        <w:tc>
          <w:tcPr>
            <w:tcW w:w="851" w:type="dxa"/>
            <w:vAlign w:val="center"/>
            <w:hideMark/>
          </w:tcPr>
          <w:p w14:paraId="2A770DCC"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11</w:t>
            </w:r>
          </w:p>
        </w:tc>
        <w:tc>
          <w:tcPr>
            <w:tcW w:w="3895" w:type="dxa"/>
            <w:gridSpan w:val="2"/>
            <w:vAlign w:val="center"/>
            <w:hideMark/>
          </w:tcPr>
          <w:p w14:paraId="3459093A"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Since becoming a nurse, I do not involve my feelings much</w:t>
            </w:r>
          </w:p>
        </w:tc>
        <w:tc>
          <w:tcPr>
            <w:tcW w:w="914" w:type="dxa"/>
            <w:gridSpan w:val="2"/>
            <w:vAlign w:val="center"/>
            <w:hideMark/>
          </w:tcPr>
          <w:p w14:paraId="56C3BFCC"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36 (37.1%)</w:t>
            </w:r>
          </w:p>
        </w:tc>
        <w:tc>
          <w:tcPr>
            <w:tcW w:w="1236" w:type="dxa"/>
            <w:gridSpan w:val="2"/>
            <w:vAlign w:val="center"/>
            <w:hideMark/>
          </w:tcPr>
          <w:p w14:paraId="2EA1EB1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50 (51.5%)</w:t>
            </w:r>
          </w:p>
        </w:tc>
        <w:tc>
          <w:tcPr>
            <w:tcW w:w="914" w:type="dxa"/>
            <w:gridSpan w:val="2"/>
            <w:vAlign w:val="center"/>
            <w:hideMark/>
          </w:tcPr>
          <w:p w14:paraId="14C5E15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9 (9.3%)</w:t>
            </w:r>
          </w:p>
        </w:tc>
        <w:tc>
          <w:tcPr>
            <w:tcW w:w="905" w:type="dxa"/>
            <w:gridSpan w:val="2"/>
            <w:vAlign w:val="center"/>
            <w:hideMark/>
          </w:tcPr>
          <w:p w14:paraId="0661F78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 (2.1%)</w:t>
            </w:r>
          </w:p>
        </w:tc>
      </w:tr>
      <w:tr w:rsidR="006F316D" w:rsidRPr="006F316D" w14:paraId="058AD2CD" w14:textId="77777777" w:rsidTr="006F316D">
        <w:trPr>
          <w:trHeight w:val="20"/>
        </w:trPr>
        <w:tc>
          <w:tcPr>
            <w:tcW w:w="851" w:type="dxa"/>
            <w:vAlign w:val="center"/>
            <w:hideMark/>
          </w:tcPr>
          <w:p w14:paraId="28CE5AD4"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12</w:t>
            </w:r>
          </w:p>
        </w:tc>
        <w:tc>
          <w:tcPr>
            <w:tcW w:w="3895" w:type="dxa"/>
            <w:gridSpan w:val="2"/>
            <w:vAlign w:val="center"/>
            <w:hideMark/>
          </w:tcPr>
          <w:p w14:paraId="0F7F44D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am worried that this job will make me emotionally exhausted</w:t>
            </w:r>
          </w:p>
        </w:tc>
        <w:tc>
          <w:tcPr>
            <w:tcW w:w="914" w:type="dxa"/>
            <w:gridSpan w:val="2"/>
            <w:vAlign w:val="center"/>
            <w:hideMark/>
          </w:tcPr>
          <w:p w14:paraId="2081C7E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65 (67.0%)</w:t>
            </w:r>
          </w:p>
        </w:tc>
        <w:tc>
          <w:tcPr>
            <w:tcW w:w="1236" w:type="dxa"/>
            <w:gridSpan w:val="2"/>
            <w:vAlign w:val="center"/>
            <w:hideMark/>
          </w:tcPr>
          <w:p w14:paraId="2DDF895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25 (25.8%)</w:t>
            </w:r>
          </w:p>
        </w:tc>
        <w:tc>
          <w:tcPr>
            <w:tcW w:w="914" w:type="dxa"/>
            <w:gridSpan w:val="2"/>
            <w:vAlign w:val="center"/>
            <w:hideMark/>
          </w:tcPr>
          <w:p w14:paraId="73A3C76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 (6.2%)</w:t>
            </w:r>
          </w:p>
        </w:tc>
        <w:tc>
          <w:tcPr>
            <w:tcW w:w="905" w:type="dxa"/>
            <w:gridSpan w:val="2"/>
            <w:vAlign w:val="center"/>
            <w:hideMark/>
          </w:tcPr>
          <w:p w14:paraId="6D26D37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r w:rsidR="006F316D" w:rsidRPr="006F316D" w14:paraId="724DD3DA" w14:textId="77777777" w:rsidTr="006F316D">
        <w:trPr>
          <w:trHeight w:val="20"/>
        </w:trPr>
        <w:tc>
          <w:tcPr>
            <w:tcW w:w="851" w:type="dxa"/>
            <w:vAlign w:val="center"/>
            <w:hideMark/>
          </w:tcPr>
          <w:p w14:paraId="39C5A4DE"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13</w:t>
            </w:r>
          </w:p>
        </w:tc>
        <w:tc>
          <w:tcPr>
            <w:tcW w:w="3895" w:type="dxa"/>
            <w:gridSpan w:val="2"/>
            <w:vAlign w:val="center"/>
            <w:hideMark/>
          </w:tcPr>
          <w:p w14:paraId="6E529A6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do not really care about patients (I just focus on completing my tasks)</w:t>
            </w:r>
          </w:p>
        </w:tc>
        <w:tc>
          <w:tcPr>
            <w:tcW w:w="914" w:type="dxa"/>
            <w:gridSpan w:val="2"/>
            <w:vAlign w:val="center"/>
            <w:hideMark/>
          </w:tcPr>
          <w:p w14:paraId="71FB809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73 (75.3%)</w:t>
            </w:r>
          </w:p>
        </w:tc>
        <w:tc>
          <w:tcPr>
            <w:tcW w:w="1236" w:type="dxa"/>
            <w:gridSpan w:val="2"/>
            <w:vAlign w:val="center"/>
            <w:hideMark/>
          </w:tcPr>
          <w:p w14:paraId="58813330"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18 (18.6%)</w:t>
            </w:r>
          </w:p>
        </w:tc>
        <w:tc>
          <w:tcPr>
            <w:tcW w:w="914" w:type="dxa"/>
            <w:gridSpan w:val="2"/>
            <w:vAlign w:val="center"/>
            <w:hideMark/>
          </w:tcPr>
          <w:p w14:paraId="6F95AEE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 (5.2%)</w:t>
            </w:r>
          </w:p>
        </w:tc>
        <w:tc>
          <w:tcPr>
            <w:tcW w:w="905" w:type="dxa"/>
            <w:gridSpan w:val="2"/>
            <w:vAlign w:val="center"/>
            <w:hideMark/>
          </w:tcPr>
          <w:p w14:paraId="5C638E10"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r w:rsidR="006F316D" w:rsidRPr="006F316D" w14:paraId="475BF6A7" w14:textId="77777777" w:rsidTr="006F316D">
        <w:trPr>
          <w:trHeight w:val="20"/>
        </w:trPr>
        <w:tc>
          <w:tcPr>
            <w:tcW w:w="851" w:type="dxa"/>
            <w:vAlign w:val="center"/>
            <w:hideMark/>
          </w:tcPr>
          <w:p w14:paraId="2EC53C72"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14</w:t>
            </w:r>
          </w:p>
        </w:tc>
        <w:tc>
          <w:tcPr>
            <w:tcW w:w="3895" w:type="dxa"/>
            <w:gridSpan w:val="2"/>
            <w:vAlign w:val="center"/>
            <w:hideMark/>
          </w:tcPr>
          <w:p w14:paraId="5FACAAC4"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patients blame me or exaggerate their complaints</w:t>
            </w:r>
          </w:p>
        </w:tc>
        <w:tc>
          <w:tcPr>
            <w:tcW w:w="914" w:type="dxa"/>
            <w:gridSpan w:val="2"/>
            <w:vAlign w:val="center"/>
            <w:hideMark/>
          </w:tcPr>
          <w:p w14:paraId="7E201ABC"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57 (58.8%)</w:t>
            </w:r>
          </w:p>
        </w:tc>
        <w:tc>
          <w:tcPr>
            <w:tcW w:w="1236" w:type="dxa"/>
            <w:gridSpan w:val="2"/>
            <w:vAlign w:val="center"/>
            <w:hideMark/>
          </w:tcPr>
          <w:p w14:paraId="30AE8FF7"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31 (32.0%)</w:t>
            </w:r>
          </w:p>
        </w:tc>
        <w:tc>
          <w:tcPr>
            <w:tcW w:w="914" w:type="dxa"/>
            <w:gridSpan w:val="2"/>
            <w:vAlign w:val="center"/>
            <w:hideMark/>
          </w:tcPr>
          <w:p w14:paraId="33D5BF5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8 (8.2%)</w:t>
            </w:r>
          </w:p>
        </w:tc>
        <w:tc>
          <w:tcPr>
            <w:tcW w:w="905" w:type="dxa"/>
            <w:gridSpan w:val="2"/>
            <w:vAlign w:val="center"/>
            <w:hideMark/>
          </w:tcPr>
          <w:p w14:paraId="2A1A207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r w:rsidR="006F316D" w:rsidRPr="006F316D" w14:paraId="1FA8269F" w14:textId="77777777" w:rsidTr="006F316D">
        <w:trPr>
          <w:gridAfter w:val="1"/>
          <w:wAfter w:w="6" w:type="dxa"/>
          <w:trHeight w:val="20"/>
        </w:trPr>
        <w:tc>
          <w:tcPr>
            <w:tcW w:w="4740" w:type="dxa"/>
            <w:gridSpan w:val="2"/>
            <w:vAlign w:val="center"/>
            <w:hideMark/>
          </w:tcPr>
          <w:p w14:paraId="0F8CD507" w14:textId="5F6B2D81" w:rsidR="006F316D" w:rsidRPr="006F316D" w:rsidRDefault="006F316D" w:rsidP="006F316D">
            <w:pPr>
              <w:spacing w:after="0" w:line="240" w:lineRule="auto"/>
              <w:rPr>
                <w:rFonts w:eastAsia="Times New Roman"/>
                <w:b/>
                <w:bCs/>
                <w:color w:val="000000"/>
              </w:rPr>
            </w:pPr>
            <w:r w:rsidRPr="006F316D">
              <w:rPr>
                <w:rFonts w:eastAsia="Times New Roman"/>
                <w:b/>
                <w:bCs/>
                <w:color w:val="000000"/>
              </w:rPr>
              <w:t>Reduced Personal Accomplishment</w:t>
            </w:r>
          </w:p>
        </w:tc>
        <w:tc>
          <w:tcPr>
            <w:tcW w:w="914" w:type="dxa"/>
            <w:gridSpan w:val="2"/>
            <w:vAlign w:val="center"/>
            <w:hideMark/>
          </w:tcPr>
          <w:p w14:paraId="28D527B0"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1236" w:type="dxa"/>
            <w:gridSpan w:val="2"/>
            <w:vAlign w:val="center"/>
            <w:hideMark/>
          </w:tcPr>
          <w:p w14:paraId="146062FB"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14" w:type="dxa"/>
            <w:gridSpan w:val="2"/>
            <w:vAlign w:val="center"/>
            <w:hideMark/>
          </w:tcPr>
          <w:p w14:paraId="50C1FB11" w14:textId="77777777" w:rsidR="006F316D" w:rsidRPr="006F316D" w:rsidRDefault="006F316D" w:rsidP="006F316D">
            <w:pPr>
              <w:spacing w:after="0" w:line="240" w:lineRule="auto"/>
              <w:rPr>
                <w:rFonts w:ascii="Times New Roman" w:eastAsia="Times New Roman" w:hAnsi="Times New Roman" w:cs="Times New Roman"/>
                <w:sz w:val="20"/>
                <w:szCs w:val="20"/>
              </w:rPr>
            </w:pPr>
          </w:p>
        </w:tc>
        <w:tc>
          <w:tcPr>
            <w:tcW w:w="905" w:type="dxa"/>
            <w:gridSpan w:val="2"/>
            <w:vAlign w:val="center"/>
            <w:hideMark/>
          </w:tcPr>
          <w:p w14:paraId="3CC9AABF" w14:textId="77777777" w:rsidR="006F316D" w:rsidRPr="006F316D" w:rsidRDefault="006F316D" w:rsidP="006F316D">
            <w:pPr>
              <w:spacing w:after="0" w:line="240" w:lineRule="auto"/>
              <w:rPr>
                <w:rFonts w:ascii="Times New Roman" w:eastAsia="Times New Roman" w:hAnsi="Times New Roman" w:cs="Times New Roman"/>
                <w:sz w:val="20"/>
                <w:szCs w:val="20"/>
              </w:rPr>
            </w:pPr>
          </w:p>
        </w:tc>
      </w:tr>
      <w:tr w:rsidR="006F316D" w:rsidRPr="006F316D" w14:paraId="22300D42" w14:textId="77777777" w:rsidTr="006F316D">
        <w:trPr>
          <w:trHeight w:val="20"/>
        </w:trPr>
        <w:tc>
          <w:tcPr>
            <w:tcW w:w="851" w:type="dxa"/>
            <w:vAlign w:val="center"/>
            <w:hideMark/>
          </w:tcPr>
          <w:p w14:paraId="10DE754F"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15</w:t>
            </w:r>
          </w:p>
        </w:tc>
        <w:tc>
          <w:tcPr>
            <w:tcW w:w="3895" w:type="dxa"/>
            <w:gridSpan w:val="2"/>
            <w:vAlign w:val="center"/>
            <w:hideMark/>
          </w:tcPr>
          <w:p w14:paraId="41471F7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can easily understand patients’ feelings</w:t>
            </w:r>
          </w:p>
        </w:tc>
        <w:tc>
          <w:tcPr>
            <w:tcW w:w="914" w:type="dxa"/>
            <w:gridSpan w:val="2"/>
            <w:vAlign w:val="center"/>
            <w:hideMark/>
          </w:tcPr>
          <w:p w14:paraId="608F8BF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 (6.2%)</w:t>
            </w:r>
          </w:p>
        </w:tc>
        <w:tc>
          <w:tcPr>
            <w:tcW w:w="1236" w:type="dxa"/>
            <w:gridSpan w:val="2"/>
            <w:vAlign w:val="center"/>
            <w:hideMark/>
          </w:tcPr>
          <w:p w14:paraId="7DF9A49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45 (46.4%)</w:t>
            </w:r>
          </w:p>
        </w:tc>
        <w:tc>
          <w:tcPr>
            <w:tcW w:w="914" w:type="dxa"/>
            <w:gridSpan w:val="2"/>
            <w:vAlign w:val="center"/>
            <w:hideMark/>
          </w:tcPr>
          <w:p w14:paraId="6D2B826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41 (42.3%)</w:t>
            </w:r>
          </w:p>
        </w:tc>
        <w:tc>
          <w:tcPr>
            <w:tcW w:w="905" w:type="dxa"/>
            <w:gridSpan w:val="2"/>
            <w:vAlign w:val="center"/>
            <w:hideMark/>
          </w:tcPr>
          <w:p w14:paraId="3937868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 (5.2%)</w:t>
            </w:r>
          </w:p>
        </w:tc>
      </w:tr>
      <w:tr w:rsidR="006F316D" w:rsidRPr="006F316D" w14:paraId="1AA68A58" w14:textId="77777777" w:rsidTr="006F316D">
        <w:trPr>
          <w:trHeight w:val="20"/>
        </w:trPr>
        <w:tc>
          <w:tcPr>
            <w:tcW w:w="851" w:type="dxa"/>
            <w:vAlign w:val="center"/>
            <w:hideMark/>
          </w:tcPr>
          <w:p w14:paraId="28796343"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16</w:t>
            </w:r>
          </w:p>
        </w:tc>
        <w:tc>
          <w:tcPr>
            <w:tcW w:w="3895" w:type="dxa"/>
            <w:gridSpan w:val="2"/>
            <w:vAlign w:val="center"/>
            <w:hideMark/>
          </w:tcPr>
          <w:p w14:paraId="53E1C35A"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can solve patients’ problems effectively</w:t>
            </w:r>
          </w:p>
        </w:tc>
        <w:tc>
          <w:tcPr>
            <w:tcW w:w="914" w:type="dxa"/>
            <w:gridSpan w:val="2"/>
            <w:vAlign w:val="center"/>
            <w:hideMark/>
          </w:tcPr>
          <w:p w14:paraId="17102E8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 (4.1%)</w:t>
            </w:r>
          </w:p>
        </w:tc>
        <w:tc>
          <w:tcPr>
            <w:tcW w:w="1236" w:type="dxa"/>
            <w:gridSpan w:val="2"/>
            <w:vAlign w:val="center"/>
            <w:hideMark/>
          </w:tcPr>
          <w:p w14:paraId="62D510C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60 (61.9%)</w:t>
            </w:r>
          </w:p>
        </w:tc>
        <w:tc>
          <w:tcPr>
            <w:tcW w:w="914" w:type="dxa"/>
            <w:gridSpan w:val="2"/>
            <w:vAlign w:val="center"/>
            <w:hideMark/>
          </w:tcPr>
          <w:p w14:paraId="22F0D30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31 (32.0%)</w:t>
            </w:r>
          </w:p>
        </w:tc>
        <w:tc>
          <w:tcPr>
            <w:tcW w:w="905" w:type="dxa"/>
            <w:gridSpan w:val="2"/>
            <w:vAlign w:val="center"/>
            <w:hideMark/>
          </w:tcPr>
          <w:p w14:paraId="0BDC39EA"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 (2.1%)</w:t>
            </w:r>
          </w:p>
        </w:tc>
      </w:tr>
      <w:tr w:rsidR="006F316D" w:rsidRPr="006F316D" w14:paraId="70609299" w14:textId="77777777" w:rsidTr="006F316D">
        <w:trPr>
          <w:trHeight w:val="20"/>
        </w:trPr>
        <w:tc>
          <w:tcPr>
            <w:tcW w:w="851" w:type="dxa"/>
            <w:vAlign w:val="center"/>
            <w:hideMark/>
          </w:tcPr>
          <w:p w14:paraId="02161EA0"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17</w:t>
            </w:r>
          </w:p>
        </w:tc>
        <w:tc>
          <w:tcPr>
            <w:tcW w:w="3895" w:type="dxa"/>
            <w:gridSpan w:val="2"/>
            <w:vAlign w:val="center"/>
            <w:hideMark/>
          </w:tcPr>
          <w:p w14:paraId="25A18CA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I can bring a positive impact on others through my profession</w:t>
            </w:r>
          </w:p>
        </w:tc>
        <w:tc>
          <w:tcPr>
            <w:tcW w:w="914" w:type="dxa"/>
            <w:gridSpan w:val="2"/>
            <w:vAlign w:val="center"/>
            <w:hideMark/>
          </w:tcPr>
          <w:p w14:paraId="419CF8A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7 (7.2%)</w:t>
            </w:r>
          </w:p>
        </w:tc>
        <w:tc>
          <w:tcPr>
            <w:tcW w:w="1236" w:type="dxa"/>
            <w:gridSpan w:val="2"/>
            <w:vAlign w:val="center"/>
            <w:hideMark/>
          </w:tcPr>
          <w:p w14:paraId="3DFBC1F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56 (57.7%)</w:t>
            </w:r>
          </w:p>
        </w:tc>
        <w:tc>
          <w:tcPr>
            <w:tcW w:w="914" w:type="dxa"/>
            <w:gridSpan w:val="2"/>
            <w:vAlign w:val="center"/>
            <w:hideMark/>
          </w:tcPr>
          <w:p w14:paraId="7E4CC30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31 (32.0%)</w:t>
            </w:r>
          </w:p>
        </w:tc>
        <w:tc>
          <w:tcPr>
            <w:tcW w:w="905" w:type="dxa"/>
            <w:gridSpan w:val="2"/>
            <w:vAlign w:val="center"/>
            <w:hideMark/>
          </w:tcPr>
          <w:p w14:paraId="61E3848A"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r>
      <w:tr w:rsidR="006F316D" w:rsidRPr="006F316D" w14:paraId="421A2E9C" w14:textId="77777777" w:rsidTr="006F316D">
        <w:trPr>
          <w:trHeight w:val="20"/>
        </w:trPr>
        <w:tc>
          <w:tcPr>
            <w:tcW w:w="851" w:type="dxa"/>
            <w:vAlign w:val="center"/>
            <w:hideMark/>
          </w:tcPr>
          <w:p w14:paraId="43E4EA13"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18</w:t>
            </w:r>
          </w:p>
        </w:tc>
        <w:tc>
          <w:tcPr>
            <w:tcW w:w="3895" w:type="dxa"/>
            <w:gridSpan w:val="2"/>
            <w:vAlign w:val="center"/>
            <w:hideMark/>
          </w:tcPr>
          <w:p w14:paraId="3FF4A35C"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very energetic when performing nursing practice</w:t>
            </w:r>
          </w:p>
        </w:tc>
        <w:tc>
          <w:tcPr>
            <w:tcW w:w="914" w:type="dxa"/>
            <w:gridSpan w:val="2"/>
            <w:vAlign w:val="center"/>
            <w:hideMark/>
          </w:tcPr>
          <w:p w14:paraId="272BCCB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 (5.2%)</w:t>
            </w:r>
          </w:p>
        </w:tc>
        <w:tc>
          <w:tcPr>
            <w:tcW w:w="1236" w:type="dxa"/>
            <w:gridSpan w:val="2"/>
            <w:vAlign w:val="center"/>
            <w:hideMark/>
          </w:tcPr>
          <w:p w14:paraId="5658C56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58 (59.8%)</w:t>
            </w:r>
          </w:p>
        </w:tc>
        <w:tc>
          <w:tcPr>
            <w:tcW w:w="914" w:type="dxa"/>
            <w:gridSpan w:val="2"/>
            <w:vAlign w:val="center"/>
            <w:hideMark/>
          </w:tcPr>
          <w:p w14:paraId="269A844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32 (33.0%)</w:t>
            </w:r>
          </w:p>
        </w:tc>
        <w:tc>
          <w:tcPr>
            <w:tcW w:w="905" w:type="dxa"/>
            <w:gridSpan w:val="2"/>
            <w:vAlign w:val="center"/>
            <w:hideMark/>
          </w:tcPr>
          <w:p w14:paraId="10D12236"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 (2.1%)</w:t>
            </w:r>
          </w:p>
        </w:tc>
      </w:tr>
      <w:tr w:rsidR="006F316D" w:rsidRPr="006F316D" w14:paraId="70EA58B4" w14:textId="77777777" w:rsidTr="006F316D">
        <w:trPr>
          <w:trHeight w:val="20"/>
        </w:trPr>
        <w:tc>
          <w:tcPr>
            <w:tcW w:w="851" w:type="dxa"/>
            <w:vAlign w:val="center"/>
            <w:hideMark/>
          </w:tcPr>
          <w:p w14:paraId="017AEAF8"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19</w:t>
            </w:r>
          </w:p>
        </w:tc>
        <w:tc>
          <w:tcPr>
            <w:tcW w:w="3895" w:type="dxa"/>
            <w:gridSpan w:val="2"/>
            <w:vAlign w:val="center"/>
            <w:hideMark/>
          </w:tcPr>
          <w:p w14:paraId="6394ECD4"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can easily create a relaxed atmosphere</w:t>
            </w:r>
          </w:p>
        </w:tc>
        <w:tc>
          <w:tcPr>
            <w:tcW w:w="914" w:type="dxa"/>
            <w:gridSpan w:val="2"/>
            <w:vAlign w:val="center"/>
            <w:hideMark/>
          </w:tcPr>
          <w:p w14:paraId="634E7ED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7 (7.2%)</w:t>
            </w:r>
          </w:p>
        </w:tc>
        <w:tc>
          <w:tcPr>
            <w:tcW w:w="1236" w:type="dxa"/>
            <w:gridSpan w:val="2"/>
            <w:vAlign w:val="center"/>
            <w:hideMark/>
          </w:tcPr>
          <w:p w14:paraId="5564229E"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51 (52.6%)</w:t>
            </w:r>
          </w:p>
        </w:tc>
        <w:tc>
          <w:tcPr>
            <w:tcW w:w="914" w:type="dxa"/>
            <w:gridSpan w:val="2"/>
            <w:vAlign w:val="center"/>
            <w:hideMark/>
          </w:tcPr>
          <w:p w14:paraId="7D90E98D"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36 (37.1%)</w:t>
            </w:r>
          </w:p>
        </w:tc>
        <w:tc>
          <w:tcPr>
            <w:tcW w:w="905" w:type="dxa"/>
            <w:gridSpan w:val="2"/>
            <w:vAlign w:val="center"/>
            <w:hideMark/>
          </w:tcPr>
          <w:p w14:paraId="3B5CC47A"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3 (3.1%)</w:t>
            </w:r>
          </w:p>
        </w:tc>
      </w:tr>
      <w:tr w:rsidR="006F316D" w:rsidRPr="006F316D" w14:paraId="799B470B" w14:textId="77777777" w:rsidTr="006F316D">
        <w:trPr>
          <w:trHeight w:val="20"/>
        </w:trPr>
        <w:tc>
          <w:tcPr>
            <w:tcW w:w="851" w:type="dxa"/>
            <w:vAlign w:val="center"/>
            <w:hideMark/>
          </w:tcPr>
          <w:p w14:paraId="6959F02B"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20</w:t>
            </w:r>
          </w:p>
        </w:tc>
        <w:tc>
          <w:tcPr>
            <w:tcW w:w="3895" w:type="dxa"/>
            <w:gridSpan w:val="2"/>
            <w:vAlign w:val="center"/>
            <w:hideMark/>
          </w:tcPr>
          <w:p w14:paraId="3A5F8859"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happy working as a nurse</w:t>
            </w:r>
          </w:p>
        </w:tc>
        <w:tc>
          <w:tcPr>
            <w:tcW w:w="914" w:type="dxa"/>
            <w:gridSpan w:val="2"/>
            <w:vAlign w:val="center"/>
            <w:hideMark/>
          </w:tcPr>
          <w:p w14:paraId="7DFE994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28 (28.9%)</w:t>
            </w:r>
          </w:p>
        </w:tc>
        <w:tc>
          <w:tcPr>
            <w:tcW w:w="1236" w:type="dxa"/>
            <w:gridSpan w:val="2"/>
            <w:vAlign w:val="center"/>
            <w:hideMark/>
          </w:tcPr>
          <w:p w14:paraId="2B4BBFB8"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48 (49.5%)</w:t>
            </w:r>
          </w:p>
        </w:tc>
        <w:tc>
          <w:tcPr>
            <w:tcW w:w="914" w:type="dxa"/>
            <w:gridSpan w:val="2"/>
            <w:vAlign w:val="center"/>
            <w:hideMark/>
          </w:tcPr>
          <w:p w14:paraId="1406B7DC"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21 (21.6%)</w:t>
            </w:r>
          </w:p>
        </w:tc>
        <w:tc>
          <w:tcPr>
            <w:tcW w:w="905" w:type="dxa"/>
            <w:gridSpan w:val="2"/>
            <w:vAlign w:val="center"/>
            <w:hideMark/>
          </w:tcPr>
          <w:p w14:paraId="60C8275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0 (0%)</w:t>
            </w:r>
          </w:p>
        </w:tc>
      </w:tr>
      <w:tr w:rsidR="006F316D" w:rsidRPr="006F316D" w14:paraId="2D4B2BC2" w14:textId="77777777" w:rsidTr="006F316D">
        <w:trPr>
          <w:trHeight w:val="20"/>
        </w:trPr>
        <w:tc>
          <w:tcPr>
            <w:tcW w:w="851" w:type="dxa"/>
            <w:vAlign w:val="center"/>
            <w:hideMark/>
          </w:tcPr>
          <w:p w14:paraId="5501618A"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21</w:t>
            </w:r>
          </w:p>
        </w:tc>
        <w:tc>
          <w:tcPr>
            <w:tcW w:w="3895" w:type="dxa"/>
            <w:gridSpan w:val="2"/>
            <w:vAlign w:val="center"/>
            <w:hideMark/>
          </w:tcPr>
          <w:p w14:paraId="3107BE61"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I complete my tasks according to objectives (SOP)</w:t>
            </w:r>
          </w:p>
        </w:tc>
        <w:tc>
          <w:tcPr>
            <w:tcW w:w="914" w:type="dxa"/>
            <w:gridSpan w:val="2"/>
            <w:vAlign w:val="center"/>
            <w:hideMark/>
          </w:tcPr>
          <w:p w14:paraId="111F6183"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29 (29.9%)</w:t>
            </w:r>
          </w:p>
        </w:tc>
        <w:tc>
          <w:tcPr>
            <w:tcW w:w="1236" w:type="dxa"/>
            <w:gridSpan w:val="2"/>
            <w:vAlign w:val="center"/>
            <w:hideMark/>
          </w:tcPr>
          <w:p w14:paraId="7BECA2F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49 (50.5%)</w:t>
            </w:r>
          </w:p>
        </w:tc>
        <w:tc>
          <w:tcPr>
            <w:tcW w:w="914" w:type="dxa"/>
            <w:gridSpan w:val="2"/>
            <w:vAlign w:val="center"/>
            <w:hideMark/>
          </w:tcPr>
          <w:p w14:paraId="40360A9F"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18 (18.6%)</w:t>
            </w:r>
          </w:p>
        </w:tc>
        <w:tc>
          <w:tcPr>
            <w:tcW w:w="905" w:type="dxa"/>
            <w:gridSpan w:val="2"/>
            <w:vAlign w:val="center"/>
            <w:hideMark/>
          </w:tcPr>
          <w:p w14:paraId="74424482"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r w:rsidR="006F316D" w:rsidRPr="006F316D" w14:paraId="31E76A82" w14:textId="77777777" w:rsidTr="006F316D">
        <w:trPr>
          <w:trHeight w:val="20"/>
        </w:trPr>
        <w:tc>
          <w:tcPr>
            <w:tcW w:w="851" w:type="dxa"/>
            <w:vAlign w:val="center"/>
            <w:hideMark/>
          </w:tcPr>
          <w:p w14:paraId="37DA871F" w14:textId="77777777" w:rsidR="006F316D" w:rsidRPr="006F316D" w:rsidRDefault="006F316D" w:rsidP="006F316D">
            <w:pPr>
              <w:spacing w:after="0" w:line="240" w:lineRule="auto"/>
              <w:jc w:val="right"/>
              <w:rPr>
                <w:rFonts w:eastAsia="Times New Roman"/>
                <w:color w:val="000000"/>
              </w:rPr>
            </w:pPr>
            <w:r w:rsidRPr="006F316D">
              <w:rPr>
                <w:rFonts w:eastAsia="Times New Roman"/>
                <w:color w:val="000000"/>
              </w:rPr>
              <w:t>22</w:t>
            </w:r>
          </w:p>
        </w:tc>
        <w:tc>
          <w:tcPr>
            <w:tcW w:w="3895" w:type="dxa"/>
            <w:gridSpan w:val="2"/>
            <w:vAlign w:val="center"/>
            <w:hideMark/>
          </w:tcPr>
          <w:p w14:paraId="557E7B57"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I feel very calm when handling patients’ emotional problems</w:t>
            </w:r>
          </w:p>
        </w:tc>
        <w:tc>
          <w:tcPr>
            <w:tcW w:w="914" w:type="dxa"/>
            <w:gridSpan w:val="2"/>
            <w:vAlign w:val="center"/>
            <w:hideMark/>
          </w:tcPr>
          <w:p w14:paraId="704E9297"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10 (10.3%)</w:t>
            </w:r>
          </w:p>
        </w:tc>
        <w:tc>
          <w:tcPr>
            <w:tcW w:w="1236" w:type="dxa"/>
            <w:gridSpan w:val="2"/>
            <w:vAlign w:val="center"/>
            <w:hideMark/>
          </w:tcPr>
          <w:p w14:paraId="115AB0D5"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57 (58.8%)</w:t>
            </w:r>
          </w:p>
        </w:tc>
        <w:tc>
          <w:tcPr>
            <w:tcW w:w="914" w:type="dxa"/>
            <w:gridSpan w:val="2"/>
            <w:vAlign w:val="center"/>
            <w:hideMark/>
          </w:tcPr>
          <w:p w14:paraId="5F3E8629"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29 (29.9%)</w:t>
            </w:r>
          </w:p>
        </w:tc>
        <w:tc>
          <w:tcPr>
            <w:tcW w:w="905" w:type="dxa"/>
            <w:gridSpan w:val="2"/>
            <w:vAlign w:val="center"/>
            <w:hideMark/>
          </w:tcPr>
          <w:p w14:paraId="7CADC83B" w14:textId="77777777" w:rsidR="006F316D" w:rsidRPr="006F316D" w:rsidRDefault="006F316D" w:rsidP="006F316D">
            <w:pPr>
              <w:spacing w:after="0" w:line="240" w:lineRule="auto"/>
              <w:rPr>
                <w:rFonts w:eastAsia="Times New Roman"/>
                <w:color w:val="000000"/>
              </w:rPr>
            </w:pPr>
            <w:r w:rsidRPr="006F316D">
              <w:rPr>
                <w:rFonts w:eastAsia="Times New Roman"/>
                <w:color w:val="000000"/>
              </w:rPr>
              <w:t>1 (1.0%)</w:t>
            </w:r>
          </w:p>
        </w:tc>
      </w:tr>
    </w:tbl>
    <w:p w14:paraId="07EC0787"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0A554719"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6C8FA6CF"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24388A4F" w14:textId="77777777" w:rsidR="006F316D" w:rsidRDefault="006F316D">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56FC8805" w14:textId="77777777" w:rsidR="005D3EF1" w:rsidRDefault="005D3EF1">
      <w:pPr>
        <w:pBdr>
          <w:top w:val="nil"/>
          <w:left w:val="nil"/>
          <w:bottom w:val="nil"/>
          <w:right w:val="nil"/>
          <w:between w:val="nil"/>
        </w:pBdr>
        <w:shd w:val="clear" w:color="auto" w:fill="FFFFFF"/>
        <w:spacing w:after="0" w:line="240" w:lineRule="auto"/>
        <w:ind w:left="720"/>
        <w:jc w:val="both"/>
        <w:rPr>
          <w:rFonts w:ascii="Cambria" w:eastAsia="Cambria" w:hAnsi="Cambria" w:cs="Cambria"/>
          <w:color w:val="000000"/>
          <w:highlight w:val="lightGray"/>
        </w:rPr>
      </w:pPr>
    </w:p>
    <w:p w14:paraId="341474CE"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0"/>
          <w:szCs w:val="20"/>
        </w:rPr>
      </w:pPr>
      <w:r>
        <w:rPr>
          <w:rFonts w:ascii="Cambria" w:eastAsia="Cambria" w:hAnsi="Cambria" w:cs="Cambria"/>
          <w:b/>
          <w:color w:val="000000"/>
          <w:sz w:val="28"/>
          <w:szCs w:val="28"/>
        </w:rPr>
        <w:t>Discussion</w:t>
      </w:r>
    </w:p>
    <w:p w14:paraId="478B58DC" w14:textId="77777777" w:rsidR="00DA6E9C" w:rsidRDefault="00DA6E9C">
      <w:pPr>
        <w:shd w:val="clear" w:color="auto" w:fill="FFFFFF"/>
        <w:spacing w:after="0" w:line="240" w:lineRule="auto"/>
        <w:ind w:left="720"/>
        <w:jc w:val="both"/>
        <w:rPr>
          <w:rFonts w:ascii="Cambria" w:eastAsia="Cambria" w:hAnsi="Cambria" w:cs="Cambria"/>
          <w:sz w:val="24"/>
          <w:szCs w:val="24"/>
          <w:highlight w:val="lightGray"/>
        </w:rPr>
      </w:pPr>
    </w:p>
    <w:p w14:paraId="3EFB005F" w14:textId="77777777" w:rsidR="006F316D" w:rsidRDefault="006F316D" w:rsidP="006F316D">
      <w:pPr>
        <w:pStyle w:val="NormalWeb"/>
        <w:ind w:firstLine="426"/>
        <w:jc w:val="both"/>
      </w:pPr>
      <w:r>
        <w:lastRenderedPageBreak/>
        <w:t>The findings of this study highlight the differential impact of burnout among nurses working in Critical Areas versus Adult Inpatient Units. Overall, burnout levels were significantly higher among nurses in Adult Inpatient Units, with 42.1% reporting moderate burnout and 5.3% high burnout, compared to only 14.3% moderate burnout and no high burnout in Critical Areas. These results are consistent with existing literature indicating that unit type and work environment play a crucial role in determining burnout risk, independent of demographic or professional characteristics (Epp, 2012; Olaleye et al., 2022).</w:t>
      </w:r>
    </w:p>
    <w:p w14:paraId="3E4A1B39" w14:textId="77777777" w:rsidR="006F316D" w:rsidRDefault="006F316D" w:rsidP="006F316D">
      <w:pPr>
        <w:pStyle w:val="NormalWeb"/>
        <w:ind w:firstLine="426"/>
        <w:jc w:val="both"/>
      </w:pPr>
      <w:r>
        <w:t>Burnout among healthcare professionals, particularly in critical care settings, significantly affects patient care. Emotional exhaustion, a prominent dimension observed in this study, can lead to decreased quality and safety of care, including increased hospital-acquired infections and reduced patient safety (Hartog, 2019; Galletta et al., 2016). Nurses experiencing emotional exhaustion and cynicism may struggle with effective teamwork and communication, which are critical for maintaining high standards of patient care (Castle et al., 2025).</w:t>
      </w:r>
    </w:p>
    <w:p w14:paraId="3C0323F6" w14:textId="77777777" w:rsidR="006F316D" w:rsidRDefault="006F316D" w:rsidP="006F316D">
      <w:pPr>
        <w:pStyle w:val="NormalWeb"/>
        <w:ind w:firstLine="426"/>
        <w:jc w:val="both"/>
      </w:pPr>
      <w:r>
        <w:t>Furthermore, burnout impairs cognitive function and decision-making, potentially leading to suboptimal care and reduced motivation to engage with patients (Olaleye et al., 2022; Akhavan et al., 2022). High burnout levels have been linked to increased morbidity and mortality, emphasizing that the negative effects of burnout extend beyond healthcare providers to patient outcomes (Alotni &amp; Elgazzar, 2020). Poor communication, decreased trust, and disrupted care continuity are also consequences of burnout, which can further compromise care quality, particularly in units with high patient turnover (Rushton &amp; Pappas, 2020; Browning, 2019).</w:t>
      </w:r>
    </w:p>
    <w:p w14:paraId="5F876E6E" w14:textId="77777777" w:rsidR="006F316D" w:rsidRDefault="006F316D" w:rsidP="006F316D">
      <w:pPr>
        <w:pStyle w:val="NormalWeb"/>
        <w:ind w:firstLine="426"/>
        <w:jc w:val="both"/>
      </w:pPr>
      <w:r>
        <w:t>Critical care nurses are especially vulnerable due to the high-stress nature of their work, exposure to advanced technology, and responsibility for critically ill patients (Okan et al., 2025; Alharbi et al., 2020). This environment predisposes them to compassion fatigue and empathy fatigue, which may further negatively impact patient care. While nurses in Critical Areas showed relatively low burnout in this study, these findings underscore the importance of ongoing monitoring and support even in high-intensity units.</w:t>
      </w:r>
    </w:p>
    <w:p w14:paraId="69A45889" w14:textId="77777777" w:rsidR="006F316D" w:rsidRDefault="006F316D" w:rsidP="006F316D">
      <w:pPr>
        <w:pStyle w:val="NormalWeb"/>
        <w:ind w:firstLine="426"/>
        <w:jc w:val="both"/>
      </w:pPr>
      <w:r>
        <w:t>Mitigation strategies are crucial to protect both staff well-being and patient care quality. Supportive work environments, systemic solutions to manage workload, improved team collaboration, and resilience training are effective interventions to buffer the negative effects of burnout (Epp, 2012; Rushton &amp; Pappas, 2020; Okan et al., 2025). Specifically, targeted interventions for nurses in Adult Inpatient Units—such as workload management, professional development, and psychosocial support—may help reduce moderate to high burnout levels and improve care delivery.</w:t>
      </w:r>
    </w:p>
    <w:p w14:paraId="60E57328" w14:textId="77777777" w:rsidR="006F316D" w:rsidRDefault="006F316D" w:rsidP="006F316D">
      <w:pPr>
        <w:pStyle w:val="NormalWeb"/>
        <w:ind w:firstLine="426"/>
        <w:jc w:val="both"/>
      </w:pPr>
      <w:r>
        <w:t>In conclusion, burnout among nurses has profound implications for patient care, affecting quality, safety, communication, and overall outcomes. Addressing burnout through unit-specific interventions, resilience programs, and systemic organizational support is essential to ensure healthcare worker well-being and maintain high standards of patient care.</w:t>
      </w:r>
    </w:p>
    <w:p w14:paraId="47DCBE5F" w14:textId="77777777" w:rsidR="00DA6E9C" w:rsidRDefault="00DA6E9C">
      <w:pPr>
        <w:shd w:val="clear" w:color="auto" w:fill="FFFFFF"/>
        <w:spacing w:after="0" w:line="240" w:lineRule="auto"/>
        <w:ind w:left="720"/>
        <w:jc w:val="both"/>
        <w:rPr>
          <w:rFonts w:ascii="Cambria" w:eastAsia="Cambria" w:hAnsi="Cambria" w:cs="Cambria"/>
          <w:sz w:val="24"/>
          <w:szCs w:val="24"/>
          <w:highlight w:val="lightGray"/>
        </w:rPr>
      </w:pPr>
    </w:p>
    <w:p w14:paraId="5BCFB877"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0"/>
          <w:szCs w:val="20"/>
        </w:rPr>
      </w:pPr>
      <w:r>
        <w:rPr>
          <w:rFonts w:ascii="Cambria" w:eastAsia="Cambria" w:hAnsi="Cambria" w:cs="Cambria"/>
          <w:b/>
          <w:color w:val="000000"/>
          <w:sz w:val="28"/>
          <w:szCs w:val="28"/>
        </w:rPr>
        <w:t>Conclusion</w:t>
      </w:r>
    </w:p>
    <w:p w14:paraId="1807A06E" w14:textId="77777777" w:rsidR="006F316D" w:rsidRDefault="006F316D" w:rsidP="006F316D">
      <w:pPr>
        <w:pStyle w:val="NormalWeb"/>
      </w:pPr>
      <w:bookmarkStart w:id="5" w:name="_heading=h.iem7vt8wjfu3" w:colFirst="0" w:colLast="0"/>
      <w:bookmarkEnd w:id="5"/>
      <w:r>
        <w:t xml:space="preserve">In conclusion, this study demonstrates that nurses in Adult Inpatient Units experience higher levels of burnout compared to those in Critical Areas, highlighting the significant impact of work environment on occupational stress. Burnout among nurses, particularly emotional </w:t>
      </w:r>
      <w:r>
        <w:lastRenderedPageBreak/>
        <w:t>exhaustion, depersonalization, and reduced personal accomplishment, not only affects staff well-being but also compromises patient care quality, safety, communication, and outcomes. Critical care nurses, despite facing high-intensity environments, may maintain lower burnout levels when organizational support and resilience strategies are present. These findings underscore the urgent need for targeted interventions, including workload management, psychosocial support, and resilience training, to mitigate burnout, enhance professional satisfaction, and ensure optimal patient care across different hospital units.</w:t>
      </w:r>
    </w:p>
    <w:p w14:paraId="00DF55FD" w14:textId="77777777" w:rsidR="00DA6E9C" w:rsidRDefault="00DA6E9C">
      <w:pPr>
        <w:pBdr>
          <w:top w:val="nil"/>
          <w:left w:val="nil"/>
          <w:bottom w:val="nil"/>
          <w:right w:val="nil"/>
          <w:between w:val="nil"/>
        </w:pBdr>
        <w:shd w:val="clear" w:color="auto" w:fill="FFFFFF"/>
        <w:spacing w:after="0" w:line="240" w:lineRule="auto"/>
        <w:jc w:val="both"/>
        <w:rPr>
          <w:rFonts w:ascii="Cambria" w:eastAsia="Cambria" w:hAnsi="Cambria" w:cs="Cambria"/>
          <w:color w:val="000000"/>
        </w:rPr>
      </w:pPr>
    </w:p>
    <w:p w14:paraId="12F27F37" w14:textId="77777777" w:rsidR="00DA6E9C" w:rsidRDefault="00000000">
      <w:pPr>
        <w:pBdr>
          <w:top w:val="nil"/>
          <w:left w:val="nil"/>
          <w:bottom w:val="nil"/>
          <w:right w:val="nil"/>
          <w:between w:val="nil"/>
        </w:pBdr>
        <w:shd w:val="clear" w:color="auto" w:fill="FFFFFF"/>
        <w:spacing w:after="0" w:line="240" w:lineRule="auto"/>
        <w:jc w:val="both"/>
        <w:rPr>
          <w:rFonts w:ascii="Cambria" w:eastAsia="Cambria" w:hAnsi="Cambria" w:cs="Cambria"/>
          <w:color w:val="000000"/>
          <w:sz w:val="20"/>
          <w:szCs w:val="20"/>
        </w:rPr>
      </w:pPr>
      <w:r>
        <w:rPr>
          <w:rFonts w:ascii="Cambria" w:eastAsia="Cambria" w:hAnsi="Cambria" w:cs="Cambria"/>
          <w:b/>
          <w:color w:val="000000"/>
          <w:sz w:val="28"/>
          <w:szCs w:val="28"/>
        </w:rPr>
        <w:t>References</w:t>
      </w:r>
    </w:p>
    <w:p w14:paraId="606ADD19" w14:textId="77777777" w:rsidR="005D3EF1" w:rsidRDefault="005D3EF1" w:rsidP="000A6EC4">
      <w:pPr>
        <w:pStyle w:val="NormalWeb"/>
        <w:ind w:left="426" w:hanging="426"/>
      </w:pPr>
      <w:bookmarkStart w:id="6" w:name="_heading=h.o88hikjqiib" w:colFirst="0" w:colLast="0"/>
      <w:bookmarkEnd w:id="6"/>
      <w:r>
        <w:t xml:space="preserve">Alharbi, B. A. A., &amp; McKenna, N. (2025). </w:t>
      </w:r>
      <w:r>
        <w:rPr>
          <w:rStyle w:val="Emphasis"/>
        </w:rPr>
        <w:t>A systematic review of mindfulness-based interventions to reduce ICU nurse burnout: Global evidence and thematic synthesis</w:t>
      </w:r>
      <w:r>
        <w:t xml:space="preserve">. </w:t>
      </w:r>
      <w:r>
        <w:rPr>
          <w:rStyle w:val="Strong"/>
        </w:rPr>
        <w:t>BMC Nursing, 24</w:t>
      </w:r>
      <w:r>
        <w:t>(1), 927. https://doi.org/10.1186/s12912-025-03507-w</w:t>
      </w:r>
    </w:p>
    <w:p w14:paraId="7EB0E3B7" w14:textId="77777777" w:rsidR="005D3EF1" w:rsidRDefault="005D3EF1" w:rsidP="000A6EC4">
      <w:pPr>
        <w:pStyle w:val="NormalWeb"/>
        <w:ind w:left="426" w:hanging="426"/>
      </w:pPr>
      <w:r>
        <w:t xml:space="preserve">Ayed, A., Abu Ejheisheh, M., Aqtam, I., Batran, A., &amp; Farajallah, M. (2024). The relationship between professional quality of life and work environment among nurses in intensive care units. </w:t>
      </w:r>
      <w:r>
        <w:rPr>
          <w:rStyle w:val="Emphasis"/>
        </w:rPr>
        <w:t>Inquiry, 61</w:t>
      </w:r>
      <w:r>
        <w:t xml:space="preserve">, 1–10. </w:t>
      </w:r>
      <w:hyperlink r:id="rId8" w:tgtFrame="_new" w:history="1">
        <w:r>
          <w:rPr>
            <w:rStyle w:val="Hyperlink"/>
          </w:rPr>
          <w:t>https://doi.org/10.1177/00469580241297974</w:t>
        </w:r>
      </w:hyperlink>
    </w:p>
    <w:p w14:paraId="631CE94D" w14:textId="77777777" w:rsidR="005D3EF1" w:rsidRDefault="005D3EF1" w:rsidP="000A6EC4">
      <w:pPr>
        <w:pStyle w:val="NormalWeb"/>
        <w:ind w:left="426" w:hanging="426"/>
      </w:pPr>
      <w:r>
        <w:t xml:space="preserve">Braithwaite, M. (2008). Nurse burnout and stress in the NICU. </w:t>
      </w:r>
      <w:r>
        <w:rPr>
          <w:rStyle w:val="Emphasis"/>
        </w:rPr>
        <w:t>Advances in Neonatal Care, 8</w:t>
      </w:r>
      <w:r>
        <w:t>(6), 343–347. https://doi.org/10.1097/01.ANC.0000342767.17606.d1</w:t>
      </w:r>
    </w:p>
    <w:p w14:paraId="672F18B2" w14:textId="77777777" w:rsidR="005D3EF1" w:rsidRDefault="005D3EF1" w:rsidP="000A6EC4">
      <w:pPr>
        <w:pStyle w:val="NormalWeb"/>
        <w:ind w:left="426" w:hanging="426"/>
      </w:pPr>
      <w:r>
        <w:t xml:space="preserve">Gniewek, D., Wawro, W., Czapla, M., Milecka, D., Kowalczuk, K., &amp; Uchmanowicz, I. (2023). Occupational burnout among nursing professionals: A comparative analysis of 1103 Polish female nurses across different hospital settings. </w:t>
      </w:r>
      <w:r>
        <w:rPr>
          <w:rStyle w:val="Emphasis"/>
        </w:rPr>
        <w:t>Sustainability, 15</w:t>
      </w:r>
      <w:r>
        <w:t xml:space="preserve">(11), 8628. </w:t>
      </w:r>
      <w:hyperlink r:id="rId9" w:tgtFrame="_new" w:history="1">
        <w:r>
          <w:rPr>
            <w:rStyle w:val="Hyperlink"/>
          </w:rPr>
          <w:t>https://doi.org/10.3390/su15118628</w:t>
        </w:r>
      </w:hyperlink>
    </w:p>
    <w:p w14:paraId="14D349D2" w14:textId="77777777" w:rsidR="005D3EF1" w:rsidRDefault="005D3EF1" w:rsidP="000A6EC4">
      <w:pPr>
        <w:pStyle w:val="NormalWeb"/>
        <w:ind w:left="426" w:hanging="426"/>
      </w:pPr>
      <w:r>
        <w:t xml:space="preserve">Hartog, C. S. (2019). Burnout—A call for action. </w:t>
      </w:r>
      <w:r>
        <w:rPr>
          <w:rStyle w:val="Emphasis"/>
        </w:rPr>
        <w:t>Medizinische Klinik – Intensivmedizin und Notfallmedizin, 114</w:t>
      </w:r>
      <w:r>
        <w:t>(8), 693–698. https://doi.org/10.1007/s00063-017-0362-1</w:t>
      </w:r>
    </w:p>
    <w:p w14:paraId="08C3B903" w14:textId="77777777" w:rsidR="005D3EF1" w:rsidRDefault="005D3EF1" w:rsidP="000A6EC4">
      <w:pPr>
        <w:pStyle w:val="NormalWeb"/>
        <w:ind w:left="426" w:hanging="426"/>
      </w:pPr>
      <w:r>
        <w:t xml:space="preserve">Jirkovská, V., &amp; Dolák, F. (2025). The impact of misunderstanding and limited professional autonomy of general nurses working in intensive care on burnout syndrome. </w:t>
      </w:r>
      <w:r>
        <w:rPr>
          <w:rStyle w:val="Emphasis"/>
        </w:rPr>
        <w:t>Prakticky Lekar, 105</w:t>
      </w:r>
      <w:r>
        <w:t>(2), 85–87.</w:t>
      </w:r>
    </w:p>
    <w:p w14:paraId="579D52A6" w14:textId="77777777" w:rsidR="005D3EF1" w:rsidRDefault="005D3EF1" w:rsidP="000A6EC4">
      <w:pPr>
        <w:pStyle w:val="NormalWeb"/>
        <w:ind w:left="426" w:hanging="426"/>
      </w:pPr>
      <w:r>
        <w:t xml:space="preserve">Kamath, R. R., Kumar, A. A., &amp; Seshadri, V. (2025). Exploring the impact of disengagement on burnout among ICU nurses of Indian private hospitals: The influence of perceived organizational support. In </w:t>
      </w:r>
      <w:r>
        <w:rPr>
          <w:rStyle w:val="Emphasis"/>
        </w:rPr>
        <w:t>Studies in Big Data</w:t>
      </w:r>
      <w:r>
        <w:t xml:space="preserve"> (Vol. 158, pp. 111–126). https://doi.org/10.1007/978-3-031-70855-8_11</w:t>
      </w:r>
    </w:p>
    <w:p w14:paraId="49788ABD" w14:textId="77777777" w:rsidR="005D3EF1" w:rsidRDefault="005D3EF1" w:rsidP="000A6EC4">
      <w:pPr>
        <w:pStyle w:val="NormalWeb"/>
        <w:ind w:left="426" w:hanging="426"/>
      </w:pPr>
      <w:r>
        <w:t xml:space="preserve">Mathew, M., John, A., &amp; Ramachandran, R. V. (2025). Nurse stress and patient safety in the ICU: Physician-led observational mixed-methods study. </w:t>
      </w:r>
      <w:r>
        <w:rPr>
          <w:rStyle w:val="Emphasis"/>
        </w:rPr>
        <w:t>BMJ Open Quality, 14</w:t>
      </w:r>
      <w:r>
        <w:t>(2), e003109. https://doi.org/10.1136/bmjoq-2024-003109</w:t>
      </w:r>
    </w:p>
    <w:p w14:paraId="306F45BC" w14:textId="77777777" w:rsidR="005D3EF1" w:rsidRDefault="005D3EF1" w:rsidP="000A6EC4">
      <w:pPr>
        <w:pStyle w:val="NormalWeb"/>
        <w:ind w:left="426" w:hanging="426"/>
      </w:pPr>
      <w:r>
        <w:t xml:space="preserve">Qi, X., Fu, C., Wang, X., Wang, Y., &amp; Liu, W. (2025). Alarm fatigue and job burnout among intensive care unit nurses: A cross-sectional study in a tertiary hospital in China. </w:t>
      </w:r>
      <w:r>
        <w:rPr>
          <w:rStyle w:val="Emphasis"/>
        </w:rPr>
        <w:t>Nursing in Critical Care, 30</w:t>
      </w:r>
      <w:r>
        <w:t>(6), e70175. https://doi.org/10.1111/nicc.70175</w:t>
      </w:r>
    </w:p>
    <w:p w14:paraId="37D3054E" w14:textId="77777777" w:rsidR="005D3EF1" w:rsidRDefault="005D3EF1" w:rsidP="000A6EC4">
      <w:pPr>
        <w:pStyle w:val="NormalWeb"/>
        <w:ind w:left="426" w:hanging="426"/>
      </w:pPr>
      <w:r>
        <w:t xml:space="preserve">Quesada-Puga, C., Izquierdo-Espin, F. J., Membrive-Jiménez, M. J., Aguayo-Estremera, R., Cañadas-De La Fuente, G. A., Romero-Béjar, J. L., &amp; Gómez-Urquiza, J. L. (2024). Job satisfaction and burnout syndrome among intensive care unit nurses: A systematic </w:t>
      </w:r>
      <w:r>
        <w:lastRenderedPageBreak/>
        <w:t xml:space="preserve">review and meta-analysis. </w:t>
      </w:r>
      <w:r>
        <w:rPr>
          <w:rStyle w:val="Emphasis"/>
        </w:rPr>
        <w:t>Intensive and Critical Care Nursing, 82</w:t>
      </w:r>
      <w:r>
        <w:t>, 103660. https://doi.org/10.1016/j.iccn.2024.103660</w:t>
      </w:r>
    </w:p>
    <w:p w14:paraId="357F4A2B" w14:textId="77777777" w:rsidR="005D3EF1" w:rsidRDefault="005D3EF1" w:rsidP="000A6EC4">
      <w:pPr>
        <w:pStyle w:val="NormalWeb"/>
        <w:ind w:left="426" w:hanging="426"/>
      </w:pPr>
      <w:r>
        <w:t xml:space="preserve">Quigley, D. D., Slaughter, M. E., Qureshi, N., Gidengil, C., &amp; Hays, R. D. (2023). Associations of pediatric nurse burnout with involvement in quality improvement. </w:t>
      </w:r>
      <w:r>
        <w:rPr>
          <w:rStyle w:val="Emphasis"/>
        </w:rPr>
        <w:t>Journal of Pediatric Nursing, 70</w:t>
      </w:r>
      <w:r>
        <w:t>, e9–e16. https://doi.org/10.1016/j.pedn.2022.11.001</w:t>
      </w:r>
    </w:p>
    <w:p w14:paraId="6F4D1C60" w14:textId="77777777" w:rsidR="005D3EF1" w:rsidRDefault="005D3EF1" w:rsidP="000A6EC4">
      <w:pPr>
        <w:pStyle w:val="NormalWeb"/>
        <w:ind w:left="426" w:hanging="426"/>
      </w:pPr>
      <w:r>
        <w:t xml:space="preserve">Sikioti, T., Zartaloudi, A., Pappa, D., Mangoulia, P., Fradelos, E. C., Kourti, F. E., Koutelekos, I., Dousis, E., Margari, N., Stavropoulou, A., Evangelou, E., &amp; Dafogianni, C. (2023). Stress and burnout among Greek critical care nurses during the COVID-19 pandemic. </w:t>
      </w:r>
      <w:r>
        <w:rPr>
          <w:rStyle w:val="Emphasis"/>
        </w:rPr>
        <w:t>AIMS Public Health, 10</w:t>
      </w:r>
      <w:r>
        <w:t>(4), 755–774. https://doi.org/10.3934/publichealth.2023051</w:t>
      </w:r>
    </w:p>
    <w:p w14:paraId="7C467706" w14:textId="77777777" w:rsidR="005D3EF1" w:rsidRDefault="005D3EF1" w:rsidP="000A6EC4">
      <w:pPr>
        <w:pStyle w:val="NormalWeb"/>
        <w:ind w:left="426" w:hanging="426"/>
      </w:pPr>
      <w:r>
        <w:t xml:space="preserve">Sudrajat, D. A., Supriatin, E., &amp; Lindayani, L. (2021). Nurse burnout: Comparing public and private hospitals in Indonesia. </w:t>
      </w:r>
      <w:r>
        <w:rPr>
          <w:rStyle w:val="Emphasis"/>
        </w:rPr>
        <w:t>British Journal of Health Care Management, 27</w:t>
      </w:r>
      <w:r>
        <w:t>(2), 90–97. https://doi.org/10.12968/bjhc.2019.0090</w:t>
      </w:r>
    </w:p>
    <w:p w14:paraId="36510D9A" w14:textId="77777777" w:rsidR="005D3EF1" w:rsidRDefault="005D3EF1" w:rsidP="000A6EC4">
      <w:pPr>
        <w:pStyle w:val="NormalWeb"/>
        <w:ind w:left="426" w:hanging="426"/>
      </w:pPr>
      <w:r>
        <w:t xml:space="preserve">Ślusarz, R., Cwiekala-Lewis, K., Wysokiński, M., Filipska-Blejder, K., Fidecki, W., &amp; Biercewicz, M. (2022). Characteristics of occupational burnout among nurses of various specialties and during the COVID-19 pandemic: A review. </w:t>
      </w:r>
      <w:r>
        <w:rPr>
          <w:rStyle w:val="Emphasis"/>
        </w:rPr>
        <w:t>International Journal of Environmental Research and Public Health, 19</w:t>
      </w:r>
      <w:r>
        <w:t>(21), 13775. https://doi.org/10.3390/ijerph192113775</w:t>
      </w:r>
    </w:p>
    <w:p w14:paraId="5E83A07D" w14:textId="77777777" w:rsidR="005D3EF1" w:rsidRDefault="005D3EF1" w:rsidP="000A6EC4">
      <w:pPr>
        <w:pStyle w:val="NormalWeb"/>
        <w:ind w:left="426" w:hanging="426"/>
      </w:pPr>
      <w:r>
        <w:t xml:space="preserve">Wudarczyk, B., Krupa-Nurcek, S., Czapla, M., &amp; Uchmanowicz, I. (2025). Factors influencing burnout, stress levels, and coping strategies among nursing staff in intensive care units. </w:t>
      </w:r>
      <w:r>
        <w:rPr>
          <w:rStyle w:val="Emphasis"/>
        </w:rPr>
        <w:t>Frontiers in Public Health, 13</w:t>
      </w:r>
      <w:r>
        <w:t>, 1530353. https://doi.org/10.3389/fpubh.2025.1530353</w:t>
      </w:r>
    </w:p>
    <w:p w14:paraId="7AB0C98D" w14:textId="77777777" w:rsidR="005D3EF1" w:rsidRDefault="005D3EF1" w:rsidP="000A6EC4">
      <w:pPr>
        <w:pStyle w:val="NormalWeb"/>
        <w:ind w:left="426" w:hanging="426"/>
      </w:pPr>
      <w:r>
        <w:t xml:space="preserve">Yousif, S. Y., &amp; Al-Fayyadh, S. (2024). Burnout among nurses in critical care units: Addressing a persistent challenge. </w:t>
      </w:r>
      <w:r>
        <w:rPr>
          <w:rStyle w:val="Emphasis"/>
        </w:rPr>
        <w:t>Malaysian Journal of Nursing, 16</w:t>
      </w:r>
      <w:r>
        <w:t>(2), 97–107. https://doi.org/10.31674/MJN.2024.V16I02.010</w:t>
      </w:r>
    </w:p>
    <w:p w14:paraId="02E92FF9" w14:textId="4E47A358" w:rsidR="006F316D" w:rsidRDefault="006F316D" w:rsidP="000A6EC4">
      <w:pPr>
        <w:pStyle w:val="NormalWeb"/>
        <w:ind w:left="426" w:hanging="426"/>
      </w:pPr>
      <w:r>
        <w:t xml:space="preserve">Akhavan, A. R., Strout, T. D., Germann, C. A., Nelson, S. W., Jauregui, J., &amp; Lu, D. W. (2022). “Going through the motions”: A qualitative exploration of the impact of emergency medicine resident burnout on patient care. </w:t>
      </w:r>
      <w:r>
        <w:rPr>
          <w:rStyle w:val="Emphasis"/>
        </w:rPr>
        <w:t>AEM Education and Training, 6</w:t>
      </w:r>
      <w:r>
        <w:t>(5), e10809. https://doi.org/10.1002/aet2.10809</w:t>
      </w:r>
    </w:p>
    <w:p w14:paraId="46E2246B" w14:textId="2D524B26" w:rsidR="006F316D" w:rsidRDefault="006F316D" w:rsidP="000A6EC4">
      <w:pPr>
        <w:pStyle w:val="NormalWeb"/>
        <w:ind w:left="426" w:hanging="426"/>
      </w:pPr>
      <w:r>
        <w:t xml:space="preserve">Alharbi, J., Jackson, D., &amp; Usher, K. (2020). Personal characteristics, coping strategies, and resilience impact on compassion fatigue in critical care nurses: A cross-sectional study. </w:t>
      </w:r>
      <w:r>
        <w:rPr>
          <w:rStyle w:val="Emphasis"/>
        </w:rPr>
        <w:t>Nursing &amp; Health Sciences, 22</w:t>
      </w:r>
      <w:r>
        <w:t>(1), 20–27. https://doi.org/10.1111/nhs.12650</w:t>
      </w:r>
    </w:p>
    <w:p w14:paraId="6C9C0938" w14:textId="4919C506" w:rsidR="006F316D" w:rsidRDefault="006F316D" w:rsidP="000A6EC4">
      <w:pPr>
        <w:pStyle w:val="NormalWeb"/>
        <w:ind w:left="426" w:hanging="426"/>
      </w:pPr>
      <w:r>
        <w:t xml:space="preserve">Alotni, M. A., &amp; Elgazzar, S. E. (2020). Investigation of burnout, its associated factors and its effect on the quality of life of critical care nurses working in Buraydah Central Hospital at Qassim region, Saudi Arabia. </w:t>
      </w:r>
      <w:r>
        <w:rPr>
          <w:rStyle w:val="Emphasis"/>
        </w:rPr>
        <w:t>Open Nursing Journal, 14</w:t>
      </w:r>
      <w:r>
        <w:t>(1), 190–202. https://doi.org/10.2174/1874434602014010190</w:t>
      </w:r>
    </w:p>
    <w:p w14:paraId="391A8CD9" w14:textId="7CA8574F" w:rsidR="006F316D" w:rsidRDefault="006F316D" w:rsidP="000A6EC4">
      <w:pPr>
        <w:pStyle w:val="NormalWeb"/>
        <w:ind w:left="426" w:hanging="426"/>
      </w:pPr>
      <w:r>
        <w:t xml:space="preserve">Browning, S. G. (2019). Burnout in critical care nurses. </w:t>
      </w:r>
      <w:r>
        <w:rPr>
          <w:rStyle w:val="Emphasis"/>
        </w:rPr>
        <w:t>Critical Care Nursing Clinics of North America, 31</w:t>
      </w:r>
      <w:r>
        <w:t>(4), 527–536. https://doi.org/10.1016/j.cnc.2019.07.008</w:t>
      </w:r>
    </w:p>
    <w:p w14:paraId="4A9A4310" w14:textId="612A73A0" w:rsidR="006F316D" w:rsidRDefault="006F316D" w:rsidP="000A6EC4">
      <w:pPr>
        <w:pStyle w:val="NormalWeb"/>
        <w:ind w:left="426" w:hanging="426"/>
      </w:pPr>
      <w:r>
        <w:lastRenderedPageBreak/>
        <w:t xml:space="preserve">Castle, A. E., Cohen, R., Weekes-Plante, K., Krull, M., Callas, P., &amp; Kennedy, A. G. (2025). Perceived effectiveness of employer-provided burnout resources for emergency medicine and critical care pharmacists. </w:t>
      </w:r>
      <w:r>
        <w:rPr>
          <w:rStyle w:val="Emphasis"/>
        </w:rPr>
        <w:t>Journal of Pharmacy Technology.</w:t>
      </w:r>
      <w:r>
        <w:t xml:space="preserve"> Advance online publication. https://doi.org/10.1177/87551225251380484</w:t>
      </w:r>
    </w:p>
    <w:p w14:paraId="1B0B9BAD" w14:textId="34A299C4" w:rsidR="006F316D" w:rsidRDefault="006F316D" w:rsidP="000A6EC4">
      <w:pPr>
        <w:pStyle w:val="NormalWeb"/>
        <w:ind w:left="426" w:hanging="426"/>
      </w:pPr>
      <w:r>
        <w:t xml:space="preserve">Epp, K. (2012). Burnout in critical care nurses: A literature review. </w:t>
      </w:r>
      <w:r>
        <w:rPr>
          <w:rStyle w:val="Emphasis"/>
        </w:rPr>
        <w:t>Dynamics (Pembroke, Ont.), 23</w:t>
      </w:r>
      <w:r>
        <w:t xml:space="preserve">(4), 25–31. </w:t>
      </w:r>
      <w:hyperlink r:id="rId10" w:tgtFrame="_new" w:history="1">
        <w:r>
          <w:rPr>
            <w:rStyle w:val="Hyperlink"/>
          </w:rPr>
          <w:t>https://www.scopus.com/inward/record.uri?eid=2-s2.0-84873530543</w:t>
        </w:r>
      </w:hyperlink>
    </w:p>
    <w:p w14:paraId="275FEDAD" w14:textId="5CF1C978" w:rsidR="006F316D" w:rsidRDefault="006F316D" w:rsidP="000A6EC4">
      <w:pPr>
        <w:pStyle w:val="NormalWeb"/>
        <w:ind w:left="426" w:hanging="426"/>
      </w:pPr>
      <w:r>
        <w:t xml:space="preserve">Galletta, M., Portoghese, I., D'Aloja, E., Mereu, A., Contu, P., Coppola, R. C., Finco, G., &amp; Campagna, M. (2016). Relationship between job burnout, psychosocial factors and health care-associated infections in critical care units. </w:t>
      </w:r>
      <w:r>
        <w:rPr>
          <w:rStyle w:val="Emphasis"/>
        </w:rPr>
        <w:t>Intensive and Critical Care Nursing, 34</w:t>
      </w:r>
      <w:r>
        <w:t>, 59–66. https://doi.org/10.1016/j.iccn.2015.11.004</w:t>
      </w:r>
    </w:p>
    <w:p w14:paraId="262DD7AC" w14:textId="42CAF58F" w:rsidR="006F316D" w:rsidRDefault="006F316D" w:rsidP="000A6EC4">
      <w:pPr>
        <w:pStyle w:val="NormalWeb"/>
        <w:ind w:left="426" w:hanging="426"/>
      </w:pPr>
      <w:r>
        <w:t xml:space="preserve">Hartog, C. S. (2019). Burnout—a call for action; [Ich kann nicht mehr: Burn-out – eine Aufrüttelung]. </w:t>
      </w:r>
      <w:r>
        <w:rPr>
          <w:rStyle w:val="Emphasis"/>
        </w:rPr>
        <w:t>Medizinische Klinik - Intensivmedizin und Notfallmedizin, 114</w:t>
      </w:r>
      <w:r>
        <w:t>(8), 693–698. https://doi.org/10.1007/s00063-017-0362-1</w:t>
      </w:r>
    </w:p>
    <w:p w14:paraId="47B7A272" w14:textId="7F3B372D" w:rsidR="006F316D" w:rsidRDefault="006F316D" w:rsidP="000A6EC4">
      <w:pPr>
        <w:pStyle w:val="NormalWeb"/>
        <w:ind w:left="426" w:hanging="426"/>
      </w:pPr>
      <w:r>
        <w:t xml:space="preserve">Olaleye, T. T., Christianson, T. M., &amp; Hoot, T. J. (2022). Nurse burnout and resiliency in critical care nurses: A scoping review. </w:t>
      </w:r>
      <w:r>
        <w:rPr>
          <w:rStyle w:val="Emphasis"/>
        </w:rPr>
        <w:t>International Journal of Africa Nursing Sciences, 17</w:t>
      </w:r>
      <w:r>
        <w:t>, 100461. https://doi.org/10.1016/j.ijans.2022.100461</w:t>
      </w:r>
    </w:p>
    <w:p w14:paraId="6ADFDBC2" w14:textId="1DC0BD73" w:rsidR="006F316D" w:rsidRDefault="006F316D" w:rsidP="000A6EC4">
      <w:pPr>
        <w:pStyle w:val="NormalWeb"/>
        <w:ind w:left="426" w:hanging="426"/>
      </w:pPr>
      <w:r>
        <w:t xml:space="preserve">Okan, N., Zengin, F., Okan, Y. T., &amp; Şahin, Y. (2025). Development and psychometric validation of the empathy fatigue scale (EFS-HP) for healthcare professionals in critical care settings. </w:t>
      </w:r>
      <w:r>
        <w:rPr>
          <w:rStyle w:val="Emphasis"/>
        </w:rPr>
        <w:t>Nursing in Critical Care, 30</w:t>
      </w:r>
      <w:r>
        <w:t>(4), e70079. https://doi.org/10.1111/nicc.70079</w:t>
      </w:r>
    </w:p>
    <w:p w14:paraId="28FE9458" w14:textId="0630A140" w:rsidR="006F316D" w:rsidRDefault="006F316D" w:rsidP="000A6EC4">
      <w:pPr>
        <w:pStyle w:val="NormalWeb"/>
        <w:ind w:left="426" w:hanging="426"/>
      </w:pPr>
      <w:r>
        <w:t xml:space="preserve">Rushton, C. H., &amp; Pappas, R. S. (2020). Systems to address burnout and support well-being: Implications for intensive care unit nurses. </w:t>
      </w:r>
      <w:r>
        <w:rPr>
          <w:rStyle w:val="Emphasis"/>
        </w:rPr>
        <w:t>AACN Advanced Critical Care, 31</w:t>
      </w:r>
      <w:r>
        <w:t>(2), 141–145. https://doi.org/10.4037/aacnacc2020771</w:t>
      </w:r>
    </w:p>
    <w:p w14:paraId="498DB8FA" w14:textId="12A6B7C5" w:rsidR="006F316D" w:rsidRDefault="006F316D" w:rsidP="000A6EC4">
      <w:pPr>
        <w:pStyle w:val="NormalWeb"/>
        <w:ind w:left="426" w:hanging="426"/>
      </w:pPr>
      <w:r>
        <w:t xml:space="preserve">Rodríguez-López, A. I., &amp; Méndez-Durán, A. (2016). Burnout syndrome among nurses in critical areas of a tertiary hospital; [Síndrome de burnout en profesionales de enfermería de áreas críticas en un hospital de tercer nivel]. </w:t>
      </w:r>
      <w:r>
        <w:rPr>
          <w:rStyle w:val="Emphasis"/>
        </w:rPr>
        <w:t>Gaceta Medica de Bilbao, 113</w:t>
      </w:r>
      <w:r>
        <w:t>(3), 99–104.</w:t>
      </w:r>
    </w:p>
    <w:p w14:paraId="5CFE33D2" w14:textId="20E4B7CA" w:rsidR="006F316D" w:rsidRDefault="006F316D" w:rsidP="000A6EC4">
      <w:pPr>
        <w:pStyle w:val="NormalWeb"/>
        <w:ind w:left="426" w:hanging="426"/>
      </w:pPr>
      <w:r>
        <w:t xml:space="preserve">Kumareswaran, S., &amp; Sundram, B. M. (2024). Burnout and patient care quality: A systematic review of the impact on healthcare workers. </w:t>
      </w:r>
      <w:r>
        <w:rPr>
          <w:rStyle w:val="Emphasis"/>
        </w:rPr>
        <w:t>Philippine Journal of Science, 153</w:t>
      </w:r>
      <w:r>
        <w:t>(5), 1679–1690.</w:t>
      </w:r>
    </w:p>
    <w:p w14:paraId="14BFD6B3" w14:textId="77777777" w:rsidR="00DA6E9C" w:rsidRDefault="00DA6E9C" w:rsidP="000A6EC4">
      <w:pPr>
        <w:spacing w:after="0" w:line="240" w:lineRule="auto"/>
        <w:ind w:left="426" w:hanging="426"/>
        <w:jc w:val="both"/>
        <w:rPr>
          <w:rFonts w:ascii="Cambria" w:eastAsia="Cambria" w:hAnsi="Cambria" w:cs="Cambria"/>
          <w:sz w:val="24"/>
          <w:szCs w:val="24"/>
        </w:rPr>
      </w:pPr>
    </w:p>
    <w:sectPr w:rsidR="00DA6E9C">
      <w:footerReference w:type="defaul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50F90" w14:textId="77777777" w:rsidR="009C7DC8" w:rsidRDefault="009C7DC8">
      <w:pPr>
        <w:spacing w:after="0" w:line="240" w:lineRule="auto"/>
      </w:pPr>
      <w:r>
        <w:separator/>
      </w:r>
    </w:p>
  </w:endnote>
  <w:endnote w:type="continuationSeparator" w:id="0">
    <w:p w14:paraId="7BAC68F6" w14:textId="77777777" w:rsidR="009C7DC8" w:rsidRDefault="009C7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BCF8A5F-AAC6-4365-A74C-D8DB1F3B59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C0E23CB-06BF-430A-A799-4F9D9AB6D820}"/>
    <w:embedBold r:id="rId3" w:fontKey="{16435F31-6EEC-40F6-90D9-AD715E5D268B}"/>
  </w:font>
  <w:font w:name="Cambria">
    <w:panose1 w:val="02040503050406030204"/>
    <w:charset w:val="00"/>
    <w:family w:val="roman"/>
    <w:pitch w:val="variable"/>
    <w:sig w:usb0="E00006FF" w:usb1="420024FF" w:usb2="02000000" w:usb3="00000000" w:csb0="0000019F" w:csb1="00000000"/>
    <w:embedRegular r:id="rId4" w:fontKey="{4B0BDCCF-A8FB-4F9E-93D6-719170765CBF}"/>
    <w:embedBold r:id="rId5" w:fontKey="{0AEFA4B8-BFE2-42FF-8972-D9CD31499723}"/>
    <w:embedItalic r:id="rId6" w:fontKey="{B1F650BC-0FC2-418D-B12B-56F2E251546D}"/>
  </w:font>
  <w:font w:name="Calibri Light">
    <w:panose1 w:val="020F0302020204030204"/>
    <w:charset w:val="00"/>
    <w:family w:val="swiss"/>
    <w:pitch w:val="variable"/>
    <w:sig w:usb0="E4002EFF" w:usb1="C200247B" w:usb2="00000009" w:usb3="00000000" w:csb0="000001FF" w:csb1="00000000"/>
    <w:embedRegular r:id="rId7" w:fontKey="{3C6E5498-BD71-425D-A2A9-54D409820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114B" w14:textId="77777777" w:rsidR="00DA6E9C" w:rsidRDefault="00DA6E9C">
    <w:pPr>
      <w:pBdr>
        <w:top w:val="nil"/>
        <w:left w:val="nil"/>
        <w:bottom w:val="nil"/>
        <w:right w:val="nil"/>
        <w:between w:val="nil"/>
      </w:pBdr>
      <w:tabs>
        <w:tab w:val="center" w:pos="4680"/>
        <w:tab w:val="right" w:pos="9360"/>
      </w:tabs>
      <w:spacing w:after="0" w:line="240" w:lineRule="auto"/>
      <w:jc w:val="center"/>
      <w:rPr>
        <w:color w:val="000000"/>
      </w:rPr>
    </w:pPr>
  </w:p>
  <w:p w14:paraId="23303853" w14:textId="77777777" w:rsidR="00DA6E9C" w:rsidRDefault="00DA6E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F4D76" w14:textId="77777777" w:rsidR="009C7DC8" w:rsidRDefault="009C7DC8">
      <w:pPr>
        <w:spacing w:after="0" w:line="240" w:lineRule="auto"/>
      </w:pPr>
      <w:r>
        <w:separator/>
      </w:r>
    </w:p>
  </w:footnote>
  <w:footnote w:type="continuationSeparator" w:id="0">
    <w:p w14:paraId="6D596087" w14:textId="77777777" w:rsidR="009C7DC8" w:rsidRDefault="009C7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7243"/>
    <w:multiLevelType w:val="multilevel"/>
    <w:tmpl w:val="A9884E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C718BB"/>
    <w:multiLevelType w:val="multilevel"/>
    <w:tmpl w:val="0980A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1D2C39"/>
    <w:multiLevelType w:val="multilevel"/>
    <w:tmpl w:val="A82AD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892859"/>
    <w:multiLevelType w:val="multilevel"/>
    <w:tmpl w:val="4476F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FC3EB6"/>
    <w:multiLevelType w:val="multilevel"/>
    <w:tmpl w:val="16FAF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B7296C"/>
    <w:multiLevelType w:val="multilevel"/>
    <w:tmpl w:val="BCC094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AA4DE5"/>
    <w:multiLevelType w:val="multilevel"/>
    <w:tmpl w:val="317821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65D5D50"/>
    <w:multiLevelType w:val="multilevel"/>
    <w:tmpl w:val="043CE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AC4BBD"/>
    <w:multiLevelType w:val="multilevel"/>
    <w:tmpl w:val="BDAE7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0250EA"/>
    <w:multiLevelType w:val="hybridMultilevel"/>
    <w:tmpl w:val="CBD8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77F80"/>
    <w:multiLevelType w:val="multilevel"/>
    <w:tmpl w:val="69A8C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AE0534"/>
    <w:multiLevelType w:val="multilevel"/>
    <w:tmpl w:val="A3A6C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4942231"/>
    <w:multiLevelType w:val="multilevel"/>
    <w:tmpl w:val="DF30C8A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46B551DB"/>
    <w:multiLevelType w:val="multilevel"/>
    <w:tmpl w:val="17A8E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7653CC3"/>
    <w:multiLevelType w:val="multilevel"/>
    <w:tmpl w:val="8AD22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6F0D48"/>
    <w:multiLevelType w:val="multilevel"/>
    <w:tmpl w:val="45320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2AE6FF2"/>
    <w:multiLevelType w:val="hybridMultilevel"/>
    <w:tmpl w:val="DD6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92B54"/>
    <w:multiLevelType w:val="multilevel"/>
    <w:tmpl w:val="F3ACB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D964663"/>
    <w:multiLevelType w:val="multilevel"/>
    <w:tmpl w:val="1AEEA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71883417">
    <w:abstractNumId w:val="11"/>
  </w:num>
  <w:num w:numId="2" w16cid:durableId="1084034994">
    <w:abstractNumId w:val="5"/>
  </w:num>
  <w:num w:numId="3" w16cid:durableId="650867765">
    <w:abstractNumId w:val="10"/>
  </w:num>
  <w:num w:numId="4" w16cid:durableId="1780024952">
    <w:abstractNumId w:val="8"/>
  </w:num>
  <w:num w:numId="5" w16cid:durableId="1861815757">
    <w:abstractNumId w:val="15"/>
  </w:num>
  <w:num w:numId="6" w16cid:durableId="812256564">
    <w:abstractNumId w:val="14"/>
  </w:num>
  <w:num w:numId="7" w16cid:durableId="174270028">
    <w:abstractNumId w:val="6"/>
  </w:num>
  <w:num w:numId="8" w16cid:durableId="1565263244">
    <w:abstractNumId w:val="17"/>
  </w:num>
  <w:num w:numId="9" w16cid:durableId="387457219">
    <w:abstractNumId w:val="7"/>
  </w:num>
  <w:num w:numId="10" w16cid:durableId="932736530">
    <w:abstractNumId w:val="0"/>
  </w:num>
  <w:num w:numId="11" w16cid:durableId="1465078546">
    <w:abstractNumId w:val="3"/>
  </w:num>
  <w:num w:numId="12" w16cid:durableId="736514121">
    <w:abstractNumId w:val="18"/>
  </w:num>
  <w:num w:numId="13" w16cid:durableId="73670133">
    <w:abstractNumId w:val="13"/>
  </w:num>
  <w:num w:numId="14" w16cid:durableId="1387340863">
    <w:abstractNumId w:val="12"/>
  </w:num>
  <w:num w:numId="15" w16cid:durableId="1683166878">
    <w:abstractNumId w:val="4"/>
  </w:num>
  <w:num w:numId="16" w16cid:durableId="1610046827">
    <w:abstractNumId w:val="1"/>
  </w:num>
  <w:num w:numId="17" w16cid:durableId="83112254">
    <w:abstractNumId w:val="2"/>
  </w:num>
  <w:num w:numId="18" w16cid:durableId="1477187397">
    <w:abstractNumId w:val="16"/>
  </w:num>
  <w:num w:numId="19" w16cid:durableId="7262968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3NTE0MDEzNTUxMLJQ0lEKTi0uzszPAykwrgUAcZhvpSwAAAA="/>
  </w:docVars>
  <w:rsids>
    <w:rsidRoot w:val="00DA6E9C"/>
    <w:rsid w:val="000A6EC4"/>
    <w:rsid w:val="001B6134"/>
    <w:rsid w:val="004B7047"/>
    <w:rsid w:val="005D3EF1"/>
    <w:rsid w:val="006F316D"/>
    <w:rsid w:val="0073304C"/>
    <w:rsid w:val="00855AE2"/>
    <w:rsid w:val="009C7DC8"/>
    <w:rsid w:val="00B93CDC"/>
    <w:rsid w:val="00BB303F"/>
    <w:rsid w:val="00C857E3"/>
    <w:rsid w:val="00DA6E9C"/>
    <w:rsid w:val="00F40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9263"/>
  <w15:docId w15:val="{0C2D83BF-ADA7-43DB-A7DB-66F49F53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507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0732"/>
    <w:rPr>
      <w:b/>
      <w:bCs/>
    </w:rPr>
  </w:style>
  <w:style w:type="character" w:styleId="Emphasis">
    <w:name w:val="Emphasis"/>
    <w:basedOn w:val="DefaultParagraphFont"/>
    <w:uiPriority w:val="20"/>
    <w:qFormat/>
    <w:rsid w:val="00D50732"/>
    <w:rPr>
      <w:i/>
      <w:iCs/>
    </w:rPr>
  </w:style>
  <w:style w:type="character" w:styleId="Hyperlink">
    <w:name w:val="Hyperlink"/>
    <w:basedOn w:val="DefaultParagraphFont"/>
    <w:uiPriority w:val="99"/>
    <w:unhideWhenUsed/>
    <w:rsid w:val="00D50732"/>
    <w:rPr>
      <w:color w:val="0000FF"/>
      <w:u w:val="single"/>
    </w:rPr>
  </w:style>
  <w:style w:type="paragraph" w:styleId="ListParagraph">
    <w:name w:val="List Paragraph"/>
    <w:basedOn w:val="Normal"/>
    <w:uiPriority w:val="34"/>
    <w:qFormat/>
    <w:rsid w:val="00C17FB0"/>
    <w:pPr>
      <w:ind w:left="720"/>
      <w:contextualSpacing/>
    </w:pPr>
  </w:style>
  <w:style w:type="table" w:styleId="TableGrid">
    <w:name w:val="Table Grid"/>
    <w:basedOn w:val="TableNormal"/>
    <w:uiPriority w:val="39"/>
    <w:rsid w:val="00C17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0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298"/>
  </w:style>
  <w:style w:type="paragraph" w:styleId="Footer">
    <w:name w:val="footer"/>
    <w:basedOn w:val="Normal"/>
    <w:link w:val="FooterChar"/>
    <w:uiPriority w:val="99"/>
    <w:unhideWhenUsed/>
    <w:rsid w:val="008B0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298"/>
  </w:style>
  <w:style w:type="character" w:styleId="UnresolvedMention">
    <w:name w:val="Unresolved Mention"/>
    <w:basedOn w:val="DefaultParagraphFont"/>
    <w:uiPriority w:val="99"/>
    <w:semiHidden/>
    <w:unhideWhenUsed/>
    <w:rsid w:val="0065331A"/>
    <w:rPr>
      <w:color w:val="605E5C"/>
      <w:shd w:val="clear" w:color="auto" w:fill="E1DFDD"/>
    </w:rPr>
  </w:style>
  <w:style w:type="character" w:styleId="FollowedHyperlink">
    <w:name w:val="FollowedHyperlink"/>
    <w:basedOn w:val="DefaultParagraphFont"/>
    <w:uiPriority w:val="99"/>
    <w:semiHidden/>
    <w:unhideWhenUsed/>
    <w:rsid w:val="006B0843"/>
    <w:rPr>
      <w:color w:val="954F72" w:themeColor="followedHyperlink"/>
      <w:u w:val="single"/>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954C0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77/0046958024129797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scopus.com/inward/record.uri?eid=2-s2.0-84873530543" TargetMode="External"/><Relationship Id="rId4" Type="http://schemas.openxmlformats.org/officeDocument/2006/relationships/settings" Target="settings.xml"/><Relationship Id="rId9" Type="http://schemas.openxmlformats.org/officeDocument/2006/relationships/hyperlink" Target="https://doi.org/10.3390/su151186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PAujz6kYtGzo+MsGRlDXntKzA==">CgMxLjAyDmgudXI4aHV2a2Y0NGk2Mg5oLncwMXp2YTU0OWsxbTIOaC55NDRnYmhsZmtjNmkyDmguNmZmeWZlZDRtbjhhMg5oLmhzcmJoNW9tN3BnZDIOaC5vZWtmam1tMmFodmYyDmgudTZoZHpndXV1NHc2Mg5oLmU2ZmwybHEzMnAxMDIOaC5pZW03dnQ4d2pmdTMyDWgubzg4aGlranFpaWI4AHIhMVBQamxzT0lkaWVhMjQ1Q2dQVDBieEZCVXIyU1hPUXpr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4213</Words>
  <Characters>24018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cp:revision>
  <dcterms:created xsi:type="dcterms:W3CDTF">2025-02-23T07:47:00Z</dcterms:created>
  <dcterms:modified xsi:type="dcterms:W3CDTF">2025-11-24T07:26:00Z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http://www.zotero.org/styles/elsevier-vancouver</vt:lpwstr>
  </property>
  <property fmtid="{D5CDD505-2E9C-101B-9397-08002B2CF9AE}" pid="5" name="Mendeley Recent Style Name 1_1">
    <vt:lpwstr>Elsevier - Vancouver</vt:lpwstr>
  </property>
  <property fmtid="{D5CDD505-2E9C-101B-9397-08002B2CF9AE}" pid="6" name="Mendeley Recent Style Id 2_1">
    <vt:lpwstr>http://www.zotero.org/styles/norsk-apa-manual</vt:lpwstr>
  </property>
  <property fmtid="{D5CDD505-2E9C-101B-9397-08002B2CF9AE}" pid="7" name="Mendeley Recent Style Name 2_1">
    <vt:lpwstr>Norsk APA-manual - APA 7th edition (author-date)</vt:lpwstr>
  </property>
  <property fmtid="{D5CDD505-2E9C-101B-9397-08002B2CF9AE}" pid="8" name="Mendeley Recent Style Id 3_1">
    <vt:lpwstr>http://www.zotero.org/styles/sage-vancouver</vt:lpwstr>
  </property>
  <property fmtid="{D5CDD505-2E9C-101B-9397-08002B2CF9AE}" pid="9" name="Mendeley Recent Style Name 3_1">
    <vt:lpwstr>SAGE - Vancouver</vt:lpwstr>
  </property>
  <property fmtid="{D5CDD505-2E9C-101B-9397-08002B2CF9AE}" pid="10" name="Mendeley Recent Style Id 4_1">
    <vt:lpwstr>http://www.zotero.org/styles/springer-vancouver</vt:lpwstr>
  </property>
  <property fmtid="{D5CDD505-2E9C-101B-9397-08002B2CF9AE}" pid="11" name="Mendeley Recent Style Name 4_1">
    <vt:lpwstr>Springer - Vancouver</vt:lpwstr>
  </property>
  <property fmtid="{D5CDD505-2E9C-101B-9397-08002B2CF9AE}" pid="12" name="Mendeley Recent Style Id 5_1">
    <vt:lpwstr>http://www.zotero.org/styles/taylor-and-francis-national-library-of-medicine</vt:lpwstr>
  </property>
  <property fmtid="{D5CDD505-2E9C-101B-9397-08002B2CF9AE}" pid="13" name="Mendeley Recent Style Name 5_1">
    <vt:lpwstr>Taylor &amp; Francis - National Library of Medicine</vt:lpwstr>
  </property>
  <property fmtid="{D5CDD505-2E9C-101B-9397-08002B2CF9AE}" pid="14" name="Mendeley Recent Style Id 6_1">
    <vt:lpwstr>http://www.zotero.org/styles/taylor-and-francis-vancouver-national-library-of-medicine</vt:lpwstr>
  </property>
  <property fmtid="{D5CDD505-2E9C-101B-9397-08002B2CF9AE}" pid="15" name="Mendeley Recent Style Name 6_1">
    <vt:lpwstr>Taylor &amp; Francis - Vancouver/National Library of Medicine</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http://csl.mendeley.com/styles/23956591/vancouver-superscript-2</vt:lpwstr>
  </property>
  <property fmtid="{D5CDD505-2E9C-101B-9397-08002B2CF9AE}" pid="19" name="Mendeley Recent Style Name 8_1">
    <vt:lpwstr>Vancouver (superscript) - heru suwardianto</vt:lpwstr>
  </property>
  <property fmtid="{D5CDD505-2E9C-101B-9397-08002B2CF9AE}" pid="20" name="Mendeley Recent Style Id 9_1">
    <vt:lpwstr>http://csl.mendeley.com/styles/23956591/vancouver-2NLM-ACC</vt:lpwstr>
  </property>
  <property fmtid="{D5CDD505-2E9C-101B-9397-08002B2CF9AE}" pid="21" name="Mendeley Recent Style Name 9_1">
    <vt:lpwstr>Vancouver - heru suwardianto</vt:lpwstr>
  </property>
</Properties>
</file>